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B59B" w14:textId="77777777"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A428F" wp14:editId="16A82C10">
                <wp:simplePos x="0" y="0"/>
                <wp:positionH relativeFrom="column">
                  <wp:posOffset>1331992</wp:posOffset>
                </wp:positionH>
                <wp:positionV relativeFrom="paragraph">
                  <wp:posOffset>16116</wp:posOffset>
                </wp:positionV>
                <wp:extent cx="5076825" cy="1090434"/>
                <wp:effectExtent l="0" t="0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90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90F1F" w14:textId="77777777" w:rsidR="008C629C" w:rsidRDefault="008C629C" w:rsidP="00D70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ESD Agency Request Legislation</w:t>
                            </w:r>
                            <w:r w:rsidRPr="008C629C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F71A0A" w14:textId="77777777" w:rsidR="008C629C" w:rsidRDefault="00BE7128" w:rsidP="00D70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FA104E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Paid Family </w:t>
                            </w:r>
                            <w:r w:rsidR="00D17C2D" w:rsidRPr="00FA104E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and</w:t>
                            </w:r>
                            <w:r w:rsidR="00A157B8" w:rsidRPr="00FA104E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Medical Leave</w:t>
                            </w:r>
                            <w:r w:rsidR="008C629C"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992265" w14:textId="105EAB32" w:rsidR="00BE7128" w:rsidRPr="00FA104E" w:rsidRDefault="008C629C" w:rsidP="00D70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Technical Amendments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A4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9pt;margin-top:1.25pt;width:399.75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nTrwIAAKw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" filled="f" stroked="f">
                <v:textbox inset="0,0,0,0">
                  <w:txbxContent>
                    <w:p w14:paraId="2F990F1F" w14:textId="77777777" w:rsidR="008C629C" w:rsidRDefault="008C629C" w:rsidP="00D70AE3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ESD Agency Request Legislation</w:t>
                      </w:r>
                      <w:r w:rsidRPr="008C629C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F71A0A" w14:textId="77777777" w:rsidR="008C629C" w:rsidRDefault="00BE7128" w:rsidP="00D70AE3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</w:pPr>
                      <w:r w:rsidRPr="00FA104E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Paid Family </w:t>
                      </w:r>
                      <w:r w:rsidR="00D17C2D" w:rsidRPr="00FA104E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and</w:t>
                      </w:r>
                      <w:r w:rsidR="00A157B8" w:rsidRPr="00FA104E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 Medical Leave</w:t>
                      </w:r>
                      <w:r w:rsidR="008C629C"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8992265" w14:textId="105EAB32" w:rsidR="00BE7128" w:rsidRPr="00FA104E" w:rsidRDefault="008C629C" w:rsidP="00D70AE3">
                      <w:pPr>
                        <w:jc w:val="center"/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Technical Amendments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14:paraId="35ECC2CB" w14:textId="77777777" w:rsidR="00CA30A7" w:rsidRDefault="00415AEB" w:rsidP="00A75C50">
      <w:pPr>
        <w:rPr>
          <w:rFonts w:ascii="Garamond" w:hAnsi="Garamond"/>
          <w:b/>
          <w:i/>
        </w:rPr>
      </w:pPr>
      <w:r w:rsidRPr="00B048CD">
        <w:rPr>
          <w:rFonts w:ascii="Garamond" w:hAnsi="Garamond"/>
          <w:b/>
          <w:i/>
          <w:noProof/>
        </w:rPr>
        <w:drawing>
          <wp:inline distT="0" distB="0" distL="0" distR="0" wp14:anchorId="4CAF198F" wp14:editId="7474622E">
            <wp:extent cx="1466789" cy="532327"/>
            <wp:effectExtent l="0" t="0" r="635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22" cy="54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9A429" w14:textId="77777777" w:rsidR="00283620" w:rsidRDefault="00283620" w:rsidP="006C4654">
      <w:pPr>
        <w:spacing w:before="120" w:after="100"/>
        <w:rPr>
          <w:rFonts w:ascii="Garamond" w:hAnsi="Garamond"/>
          <w:b/>
          <w:i/>
          <w:sz w:val="20"/>
        </w:rPr>
      </w:pPr>
    </w:p>
    <w:p w14:paraId="421B9E7F" w14:textId="77777777" w:rsidR="00415AEB" w:rsidRDefault="00D725C3" w:rsidP="006C4654">
      <w:pPr>
        <w:spacing w:before="120" w:after="100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</w:rPr>
        <w:t xml:space="preserve">August </w:t>
      </w:r>
      <w:r w:rsidR="00D70AE3">
        <w:rPr>
          <w:rFonts w:ascii="Garamond" w:hAnsi="Garamond"/>
          <w:b/>
          <w:i/>
          <w:sz w:val="20"/>
        </w:rPr>
        <w:t>2018</w:t>
      </w:r>
    </w:p>
    <w:tbl>
      <w:tblPr>
        <w:tblW w:w="10224" w:type="dxa"/>
        <w:tblInd w:w="-180" w:type="dxa"/>
        <w:tblLook w:val="01E0" w:firstRow="1" w:lastRow="1" w:firstColumn="1" w:lastColumn="1" w:noHBand="0" w:noVBand="0"/>
      </w:tblPr>
      <w:tblGrid>
        <w:gridCol w:w="10224"/>
      </w:tblGrid>
      <w:tr w:rsidR="00415AEB" w:rsidRPr="00470A5F" w14:paraId="60427F51" w14:textId="77777777" w:rsidTr="00FF3479">
        <w:tc>
          <w:tcPr>
            <w:tcW w:w="1022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89C53AA" w14:textId="77777777" w:rsidR="00415AEB" w:rsidRPr="00A75C50" w:rsidRDefault="00415AEB" w:rsidP="00FF3479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415AEB" w:rsidRPr="00470A5F" w14:paraId="1704D31E" w14:textId="77777777" w:rsidTr="00FF3479">
        <w:trPr>
          <w:trHeight w:val="1112"/>
        </w:trPr>
        <w:tc>
          <w:tcPr>
            <w:tcW w:w="1022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721B291B" w14:textId="77777777" w:rsidR="00415AEB" w:rsidRPr="00F90BD4" w:rsidRDefault="000E3570" w:rsidP="00FA104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Theme="minorHAnsi" w:hAnsi="Garamond"/>
                <w:color w:val="000000"/>
                <w:szCs w:val="24"/>
              </w:rPr>
              <w:t>Amendments to t</w:t>
            </w:r>
            <w:r w:rsidR="00AE74F7" w:rsidRPr="00FF3479">
              <w:rPr>
                <w:rFonts w:ascii="Garamond" w:eastAsiaTheme="minorHAnsi" w:hAnsi="Garamond"/>
                <w:color w:val="000000"/>
                <w:szCs w:val="24"/>
              </w:rPr>
              <w:t>he Paid Family and Medical Leave</w:t>
            </w:r>
            <w:r w:rsidR="000F551F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(PFML)</w:t>
            </w:r>
            <w:r w:rsidR="00AE74F7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Act</w:t>
            </w:r>
            <w:r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55077C">
              <w:rPr>
                <w:rFonts w:ascii="Garamond" w:eastAsiaTheme="minorHAnsi" w:hAnsi="Garamond"/>
                <w:color w:val="000000"/>
                <w:szCs w:val="24"/>
              </w:rPr>
              <w:t>are needed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 to improve customer experience and avoid unneeded adverse impacts on </w:t>
            </w:r>
            <w:r w:rsidR="00AE74F7" w:rsidRPr="00FF3479">
              <w:rPr>
                <w:rFonts w:ascii="Garamond" w:eastAsiaTheme="minorHAnsi" w:hAnsi="Garamond"/>
                <w:color w:val="000000"/>
                <w:szCs w:val="24"/>
              </w:rPr>
              <w:t>employers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 and</w:t>
            </w:r>
            <w:r w:rsidR="00AE74F7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employees</w:t>
            </w:r>
            <w:r w:rsidR="00F60ADA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.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="00370BC2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everal technical corrections </w:t>
            </w:r>
            <w:r w:rsidR="00DD5C4A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are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also essential</w:t>
            </w:r>
            <w:r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370BC2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for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proper </w:t>
            </w:r>
            <w:r w:rsidR="00370BC2" w:rsidRPr="00FF3479">
              <w:rPr>
                <w:rFonts w:ascii="Garamond" w:eastAsiaTheme="minorHAnsi" w:hAnsi="Garamond"/>
                <w:color w:val="000000"/>
                <w:szCs w:val="24"/>
              </w:rPr>
              <w:t>implement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ation of</w:t>
            </w:r>
            <w:r w:rsidR="00DD5C4A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the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law</w:t>
            </w:r>
            <w:r w:rsidR="00370BC2" w:rsidRPr="00FF3479">
              <w:rPr>
                <w:rFonts w:ascii="Garamond" w:eastAsiaTheme="minorHAnsi" w:hAnsi="Garamond"/>
                <w:color w:val="000000"/>
                <w:szCs w:val="24"/>
              </w:rPr>
              <w:t>. Th</w:t>
            </w:r>
            <w:r w:rsidR="00DD5C4A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is document provides a high-level overview of these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amendments. The Employment Security Department (ESD) will </w:t>
            </w:r>
            <w:r w:rsidR="00F60ADA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work with the </w:t>
            </w:r>
            <w:r w:rsidR="000F551F" w:rsidRPr="00FF3479">
              <w:rPr>
                <w:rFonts w:ascii="Garamond" w:eastAsiaTheme="minorHAnsi" w:hAnsi="Garamond"/>
                <w:color w:val="000000"/>
                <w:szCs w:val="24"/>
              </w:rPr>
              <w:t>PFML</w:t>
            </w:r>
            <w:r w:rsidR="00F60ADA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Advisory Committee </w:t>
            </w:r>
            <w:r w:rsidR="00AE74F7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on each </w:t>
            </w:r>
            <w:r w:rsidR="00370BC2" w:rsidRPr="00FF3479">
              <w:rPr>
                <w:rFonts w:ascii="Garamond" w:eastAsiaTheme="minorHAnsi" w:hAnsi="Garamond"/>
                <w:color w:val="000000"/>
                <w:szCs w:val="24"/>
              </w:rPr>
              <w:t>proposal</w:t>
            </w:r>
            <w:r w:rsidR="00AE74F7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to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ensure</w:t>
            </w:r>
            <w:r w:rsidR="00AE74F7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there is agreement prior to introducing legislation.</w:t>
            </w:r>
            <w:r w:rsidR="00AE74F7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613" w:rsidRPr="00A75C50" w14:paraId="0F22F4DC" w14:textId="77777777" w:rsidTr="00FF3479">
        <w:tc>
          <w:tcPr>
            <w:tcW w:w="1022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F23E55D" w14:textId="77777777" w:rsidR="00BB3613" w:rsidRPr="00A75C50" w:rsidRDefault="00415AEB" w:rsidP="008C1308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 xml:space="preserve">Employment </w:t>
            </w:r>
            <w:r w:rsidR="00FE5C19">
              <w:rPr>
                <w:rFonts w:ascii="Arial" w:hAnsi="Arial" w:cs="Arial"/>
                <w:b/>
                <w:color w:val="003366"/>
              </w:rPr>
              <w:t>b</w:t>
            </w:r>
            <w:r>
              <w:rPr>
                <w:rFonts w:ascii="Arial" w:hAnsi="Arial" w:cs="Arial"/>
                <w:b/>
                <w:color w:val="003366"/>
              </w:rPr>
              <w:t>enefits</w:t>
            </w:r>
          </w:p>
        </w:tc>
      </w:tr>
      <w:tr w:rsidR="00BB3613" w:rsidRPr="00E10CD3" w14:paraId="20ED918C" w14:textId="77777777" w:rsidTr="00FF3479">
        <w:trPr>
          <w:trHeight w:val="20"/>
        </w:trPr>
        <w:tc>
          <w:tcPr>
            <w:tcW w:w="1022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14:paraId="4B1847C1" w14:textId="77777777" w:rsidR="005C12EA" w:rsidRPr="00726F0B" w:rsidRDefault="00F60ADA" w:rsidP="00FA104E">
            <w:pPr>
              <w:spacing w:after="120"/>
              <w:rPr>
                <w:rFonts w:ascii="Garamond" w:eastAsiaTheme="minorHAnsi" w:hAnsi="Garamond"/>
                <w:color w:val="000000"/>
                <w:szCs w:val="24"/>
              </w:rPr>
            </w:pPr>
            <w:r w:rsidRPr="00FF3479">
              <w:rPr>
                <w:rFonts w:ascii="Garamond" w:eastAsiaTheme="minorHAnsi" w:hAnsi="Garamond"/>
                <w:color w:val="000000"/>
                <w:szCs w:val="24"/>
              </w:rPr>
              <w:t>T</w:t>
            </w:r>
            <w:r w:rsidR="00801A37" w:rsidRPr="00FF3479">
              <w:rPr>
                <w:rFonts w:ascii="Garamond" w:eastAsiaTheme="minorHAnsi" w:hAnsi="Garamond"/>
                <w:color w:val="000000"/>
                <w:szCs w:val="24"/>
              </w:rPr>
              <w:t>he</w:t>
            </w:r>
            <w:r w:rsidR="00D70AE3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definition of “employment benefits” </w:t>
            </w:r>
            <w:r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in RCW 50A.04.010(8) </w:t>
            </w:r>
            <w:r w:rsidR="00415AEB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contains </w:t>
            </w:r>
            <w:r w:rsidR="000F551F" w:rsidRPr="00FF3479">
              <w:rPr>
                <w:rFonts w:ascii="Garamond" w:eastAsiaTheme="minorHAnsi" w:hAnsi="Garamond"/>
                <w:color w:val="000000"/>
                <w:szCs w:val="24"/>
              </w:rPr>
              <w:t>language</w:t>
            </w:r>
            <w:r w:rsidR="00415AEB" w:rsidRPr="00FF3479">
              <w:rPr>
                <w:rFonts w:ascii="Garamond" w:eastAsiaTheme="minorHAnsi" w:hAnsi="Garamond"/>
                <w:color w:val="000000"/>
                <w:szCs w:val="24"/>
              </w:rPr>
              <w:t xml:space="preserve"> from the original </w:t>
            </w:r>
            <w:r w:rsidR="00B3138F">
              <w:rPr>
                <w:rFonts w:ascii="Garamond" w:eastAsiaTheme="minorHAnsi" w:hAnsi="Garamond"/>
                <w:color w:val="000000"/>
                <w:szCs w:val="24"/>
              </w:rPr>
              <w:t xml:space="preserve">2007 version of the 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>Paid Family Leave law</w:t>
            </w:r>
            <w:r w:rsidR="00307891">
              <w:rPr>
                <w:rFonts w:ascii="Garamond" w:eastAsiaTheme="minorHAnsi" w:hAnsi="Garamond"/>
                <w:color w:val="000000"/>
                <w:szCs w:val="24"/>
              </w:rPr>
              <w:t>,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307891">
              <w:rPr>
                <w:rFonts w:ascii="Garamond" w:eastAsiaTheme="minorHAnsi" w:hAnsi="Garamond"/>
                <w:color w:val="000000"/>
                <w:szCs w:val="24"/>
              </w:rPr>
              <w:t>which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creates an unintentional exemption for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D70AE3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benefits provided 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>by a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>n employer’s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practice or written policy. Unfor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>tu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>nately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>,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this exemption would likely 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result in </w:t>
            </w:r>
            <w:r w:rsidR="003C1019">
              <w:rPr>
                <w:rFonts w:ascii="Garamond" w:eastAsiaTheme="minorHAnsi" w:hAnsi="Garamond"/>
                <w:color w:val="000000"/>
                <w:szCs w:val="24"/>
              </w:rPr>
              <w:t xml:space="preserve">all 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employment benefits 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>being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exempt from the 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>section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s 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>of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the law </w:t>
            </w:r>
            <w:r w:rsidR="000F551F" w:rsidRPr="003C1019">
              <w:rPr>
                <w:rFonts w:ascii="Garamond" w:eastAsiaTheme="minorHAnsi" w:hAnsi="Garamond"/>
                <w:color w:val="000000"/>
                <w:szCs w:val="24"/>
              </w:rPr>
              <w:t>that</w:t>
            </w:r>
            <w:r w:rsidR="00415AEB" w:rsidRPr="003C1019">
              <w:rPr>
                <w:rFonts w:ascii="Garamond" w:eastAsiaTheme="minorHAnsi" w:hAnsi="Garamond"/>
                <w:color w:val="000000"/>
                <w:szCs w:val="24"/>
              </w:rPr>
              <w:t xml:space="preserve"> address employment benefits. </w:t>
            </w:r>
          </w:p>
          <w:p w14:paraId="7D859AEA" w14:textId="77777777" w:rsidR="001D5056" w:rsidRPr="00726F0B" w:rsidRDefault="000F551F" w:rsidP="00726F0B">
            <w:pPr>
              <w:spacing w:before="100" w:after="120"/>
              <w:rPr>
                <w:rFonts w:ascii="Garamond" w:eastAsiaTheme="minorHAnsi" w:hAnsi="Garamond"/>
                <w:color w:val="000000"/>
                <w:szCs w:val="24"/>
              </w:rPr>
            </w:pPr>
            <w:r w:rsidRPr="00726F0B">
              <w:rPr>
                <w:rFonts w:ascii="Garamond" w:eastAsiaTheme="minorHAnsi" w:hAnsi="Garamond"/>
                <w:color w:val="000000"/>
                <w:szCs w:val="24"/>
              </w:rPr>
              <w:t>ESD</w:t>
            </w:r>
            <w:r w:rsidR="00415AEB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 suggest</w:t>
            </w:r>
            <w:r w:rsidRPr="00726F0B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="00415AEB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 striking this language to prevent confusion and to maintain the original intent of the legislation under the employment protections and remedies sections relating to when employee</w:t>
            </w:r>
            <w:r w:rsidRPr="00726F0B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="00415AEB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 take leave. </w:t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D5056" w:rsidRPr="00E10CD3" w14:paraId="345883FC" w14:textId="77777777" w:rsidTr="00BE7128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0995011E" w14:textId="77777777" w:rsidR="001D5056" w:rsidRPr="00E10CD3" w:rsidRDefault="001D5056" w:rsidP="003C1019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 w:rsidRPr="00E10CD3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Taxable wage base</w:t>
                  </w:r>
                </w:p>
              </w:tc>
            </w:tr>
            <w:tr w:rsidR="001D5056" w:rsidRPr="00E10CD3" w14:paraId="42BB69A8" w14:textId="77777777" w:rsidTr="003F20AB">
              <w:trPr>
                <w:trHeight w:val="1112"/>
              </w:trPr>
              <w:tc>
                <w:tcPr>
                  <w:tcW w:w="10044" w:type="dxa"/>
                  <w:tcMar>
                    <w:top w:w="58" w:type="dxa"/>
                    <w:left w:w="0" w:type="dxa"/>
                    <w:bottom w:w="101" w:type="dxa"/>
                    <w:right w:w="0" w:type="dxa"/>
                  </w:tcMar>
                </w:tcPr>
                <w:p w14:paraId="42CC3B34" w14:textId="77777777" w:rsidR="00FA2436" w:rsidRPr="00726F0B" w:rsidRDefault="001D6A6A" w:rsidP="00FA104E">
                  <w:pPr>
                    <w:spacing w:after="120"/>
                    <w:rPr>
                      <w:rFonts w:ascii="Garamond" w:eastAsiaTheme="minorHAnsi" w:hAnsi="Garamond"/>
                      <w:color w:val="000000"/>
                      <w:szCs w:val="24"/>
                    </w:rPr>
                  </w:pPr>
                  <w:r>
                    <w:rPr>
                      <w:rFonts w:ascii="Garamond" w:eastAsiaTheme="minorHAnsi" w:hAnsi="Garamond"/>
                      <w:color w:val="000000"/>
                      <w:szCs w:val="24"/>
                    </w:rPr>
                    <w:t>T</w:t>
                  </w:r>
                  <w:r w:rsidR="003F20AB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he def</w:t>
                  </w:r>
                  <w:r w:rsidR="00E80476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inition</w:t>
                  </w:r>
                  <w:r w:rsidR="00E80476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of “wage” </w:t>
                  </w:r>
                  <w:r w:rsidR="00F90BD4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in</w:t>
                  </w:r>
                  <w:r w:rsidR="00EA40E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RCW 50A.04.010(24)</w:t>
                  </w:r>
                  <w:r w:rsidR="00552FBE">
                    <w:rPr>
                      <w:rFonts w:ascii="Garamond" w:eastAsiaTheme="minorHAnsi" w:hAnsi="Garamond"/>
                      <w:color w:val="000000"/>
                      <w:szCs w:val="24"/>
                    </w:rPr>
                    <w:t>,</w:t>
                  </w: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as it relates</w:t>
                  </w:r>
                  <w:r w:rsidR="00FA2436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EA40E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to </w:t>
                  </w:r>
                  <w:r w:rsidR="003F20AB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premium assessments and ben</w:t>
                  </w:r>
                  <w:r w:rsidR="00DF6C99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e</w:t>
                  </w:r>
                  <w:r w:rsidR="003F20AB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fit calculation</w:t>
                  </w:r>
                  <w:r w:rsidR="00552FBE">
                    <w:rPr>
                      <w:rFonts w:ascii="Garamond" w:eastAsiaTheme="minorHAnsi" w:hAnsi="Garamond"/>
                      <w:color w:val="000000"/>
                      <w:szCs w:val="24"/>
                    </w:rPr>
                    <w:t>,</w:t>
                  </w: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must be clarified</w:t>
                  </w:r>
                  <w:r w:rsidR="003F20AB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. </w:t>
                  </w:r>
                  <w:r w:rsidR="00FA2436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The </w:t>
                  </w:r>
                  <w:r w:rsidR="00FE6810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P</w:t>
                  </w:r>
                  <w:r w:rsidR="003F20AB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FML </w:t>
                  </w: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Act </w:t>
                  </w:r>
                  <w:r w:rsidR="00EA40E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uses</w:t>
                  </w:r>
                  <w:r w:rsidR="00E80476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part of</w:t>
                  </w:r>
                  <w:r w:rsidR="00EA40E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the definition of “wage” from the definition </w:t>
                  </w:r>
                  <w:r w:rsidR="003C1019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in </w:t>
                  </w: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U</w:t>
                  </w:r>
                  <w:r w:rsidR="00F90BD4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nemployment </w:t>
                  </w: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I</w:t>
                  </w:r>
                  <w:r w:rsidR="00E80476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nsurance</w:t>
                  </w: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(UI)</w:t>
                  </w:r>
                  <w:r w:rsidR="00E80476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in RCW 50.04.320(2)</w:t>
                  </w:r>
                  <w:r w:rsidR="00FA2436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. As a result, the definition only refers </w:t>
                  </w:r>
                  <w:r w:rsidR="00F90BD4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to</w:t>
                  </w:r>
                  <w:r w:rsidR="000A5659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benefit payments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and causes unintended consequence</w:t>
                  </w:r>
                  <w:r w:rsidR="00DF6C99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s</w:t>
                  </w:r>
                  <w:r w:rsidR="004627B8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,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which will result in significant additional burden</w:t>
                  </w:r>
                  <w:r w:rsidR="004627B8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s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to employers</w:t>
                  </w:r>
                  <w:r w:rsidR="006F32BF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, employees,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and the department</w:t>
                  </w:r>
                  <w:r w:rsidR="00EA40E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. </w:t>
                  </w:r>
                </w:p>
                <w:p w14:paraId="30081FDF" w14:textId="77777777" w:rsidR="001D5056" w:rsidRPr="003C1019" w:rsidRDefault="004627B8" w:rsidP="00FA104E">
                  <w:pPr>
                    <w:spacing w:before="100"/>
                    <w:rPr>
                      <w:rFonts w:ascii="Garamond" w:hAnsi="Garamond"/>
                      <w:szCs w:val="24"/>
                    </w:rPr>
                  </w:pP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ESD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recommend</w:t>
                  </w:r>
                  <w:r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s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revising</w:t>
                  </w:r>
                  <w:r w:rsidR="00EA40E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the law to 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remove the </w:t>
                  </w:r>
                  <w:r w:rsidR="00F44225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reference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to UI </w:t>
                  </w:r>
                  <w:r w:rsidR="001D6A6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law </w:t>
                  </w:r>
                  <w:r w:rsidR="00AA1AAC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a</w:t>
                  </w:r>
                  <w:r w:rsidR="00D72E4F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nd simply defin</w:t>
                  </w:r>
                  <w:r w:rsidR="00F44225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ing</w:t>
                  </w:r>
                  <w:r w:rsidR="00D72E4F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wages</w:t>
                  </w:r>
                  <w:r w:rsidR="00D725C3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and remuneration</w:t>
                  </w:r>
                  <w:r w:rsidR="00D72E4F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as intended for </w:t>
                  </w:r>
                  <w:r w:rsidR="004F5EE3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PFML</w:t>
                  </w:r>
                  <w:r w:rsidR="005446B5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margin" w:tblpY="38"/>
              <w:tblOverlap w:val="never"/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0A5659" w:rsidRPr="00E10CD3" w14:paraId="332B771A" w14:textId="77777777" w:rsidTr="000A5659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2AD11BFD" w14:textId="77777777" w:rsidR="000A5659" w:rsidRPr="00DF6C99" w:rsidRDefault="000A5659" w:rsidP="003C1019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 w:rsidRPr="00DF6C9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Duplication of benefits</w:t>
                  </w:r>
                </w:p>
              </w:tc>
            </w:tr>
            <w:tr w:rsidR="000A5659" w:rsidRPr="00E10CD3" w14:paraId="13ED7E88" w14:textId="77777777" w:rsidTr="000A5659">
              <w:trPr>
                <w:trHeight w:val="338"/>
              </w:trPr>
              <w:tc>
                <w:tcPr>
                  <w:tcW w:w="10044" w:type="dxa"/>
                  <w:tcMar>
                    <w:top w:w="58" w:type="dxa"/>
                    <w:left w:w="0" w:type="dxa"/>
                    <w:bottom w:w="101" w:type="dxa"/>
                    <w:right w:w="0" w:type="dxa"/>
                  </w:tcMar>
                </w:tcPr>
                <w:p w14:paraId="2584F125" w14:textId="77777777" w:rsidR="00EA40EA" w:rsidRPr="00C34FAD" w:rsidRDefault="00D72E4F" w:rsidP="00FA104E">
                  <w:pPr>
                    <w:spacing w:after="120"/>
                    <w:rPr>
                      <w:rFonts w:ascii="Garamond" w:eastAsiaTheme="minorHAnsi" w:hAnsi="Garamond"/>
                      <w:color w:val="000000"/>
                      <w:szCs w:val="24"/>
                    </w:rPr>
                  </w:pP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The </w:t>
                  </w:r>
                  <w:r w:rsidR="004F5EE3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PFML</w:t>
                  </w: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1D6A6A">
                    <w:rPr>
                      <w:rFonts w:ascii="Garamond" w:eastAsiaTheme="minorHAnsi" w:hAnsi="Garamond"/>
                      <w:color w:val="000000"/>
                      <w:szCs w:val="24"/>
                    </w:rPr>
                    <w:t>Act</w:t>
                  </w:r>
                  <w:r w:rsidR="001D6A6A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direct</w:t>
                  </w:r>
                  <w:r w:rsidR="004F5EE3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s</w:t>
                  </w: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4F5EE3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ESD</w:t>
                  </w: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to prevent duplication of benefits for employees </w:t>
                  </w:r>
                  <w:r w:rsidR="004F5EE3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who are </w:t>
                  </w: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simultaneously covered by a voluntary plan and the state plan</w:t>
                  </w:r>
                  <w:r w:rsidR="004F5EE3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.</w:t>
                  </w: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1D6A6A">
                    <w:rPr>
                      <w:rFonts w:ascii="Garamond" w:eastAsiaTheme="minorHAnsi" w:hAnsi="Garamond"/>
                      <w:color w:val="000000"/>
                      <w:szCs w:val="24"/>
                    </w:rPr>
                    <w:t>Current law does not allow</w:t>
                  </w:r>
                  <w:r w:rsidR="00EA40EA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FA2436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employees </w:t>
                  </w:r>
                  <w:r w:rsidR="004F5EE3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who </w:t>
                  </w:r>
                  <w:r w:rsidR="00FA2436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are </w:t>
                  </w:r>
                  <w:r w:rsidR="000A5659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covered by a</w:t>
                  </w:r>
                  <w:r w:rsidR="00FA2436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voluntary plan at the time they </w:t>
                  </w:r>
                  <w:r w:rsid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begin taking leave</w:t>
                  </w:r>
                  <w:r w:rsidR="00FA2436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1D6A6A">
                    <w:rPr>
                      <w:rFonts w:ascii="Garamond" w:eastAsiaTheme="minorHAnsi" w:hAnsi="Garamond"/>
                      <w:color w:val="000000"/>
                      <w:szCs w:val="24"/>
                    </w:rPr>
                    <w:t>to</w:t>
                  </w:r>
                  <w:r w:rsidR="001D6A6A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1D6A6A">
                    <w:rPr>
                      <w:rFonts w:ascii="Garamond" w:eastAsiaTheme="minorHAnsi" w:hAnsi="Garamond"/>
                      <w:color w:val="000000"/>
                      <w:szCs w:val="24"/>
                    </w:rPr>
                    <w:t>receive</w:t>
                  </w:r>
                  <w:r w:rsidR="001D6A6A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0A5659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benefits from the state </w:t>
                  </w:r>
                  <w:r w:rsidR="00FA2436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PFML </w:t>
                  </w:r>
                  <w:r w:rsidR="000A5659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program</w:t>
                  </w:r>
                  <w:r w:rsidR="001D6A6A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1D6A6A" w:rsidRPr="00C34FAD">
                    <w:rPr>
                      <w:rFonts w:ascii="Garamond" w:eastAsiaTheme="minorHAnsi" w:hAnsi="Garamond"/>
                      <w:color w:val="000000"/>
                      <w:szCs w:val="24"/>
                    </w:rPr>
                    <w:t>(</w:t>
                  </w:r>
                  <w:r w:rsidR="001D6A6A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>see</w:t>
                  </w:r>
                  <w:r w:rsidR="001D6A6A" w:rsidRPr="00C34FAD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RCW 50A.04.600(4)</w:t>
                  </w:r>
                  <w:r w:rsidR="001D6A6A">
                    <w:rPr>
                      <w:rFonts w:ascii="Garamond" w:eastAsiaTheme="minorHAnsi" w:hAnsi="Garamond"/>
                      <w:color w:val="000000"/>
                      <w:szCs w:val="24"/>
                    </w:rPr>
                    <w:t>)</w:t>
                  </w:r>
                  <w:r w:rsidR="001D6A6A" w:rsidRPr="00C34FAD">
                    <w:rPr>
                      <w:rFonts w:ascii="Garamond" w:eastAsiaTheme="minorHAnsi" w:hAnsi="Garamond"/>
                      <w:color w:val="000000"/>
                      <w:szCs w:val="24"/>
                    </w:rPr>
                    <w:t>.</w:t>
                  </w:r>
                  <w:r w:rsidR="000A5659" w:rsidRPr="00C34FAD">
                    <w:rPr>
                      <w:rFonts w:ascii="Garamond" w:eastAsiaTheme="minorHAnsi" w:hAnsi="Garamond"/>
                      <w:color w:val="000000"/>
                      <w:szCs w:val="24"/>
                    </w:rPr>
                    <w:t> </w:t>
                  </w:r>
                </w:p>
                <w:p w14:paraId="7823E3F7" w14:textId="77777777" w:rsidR="00D72E4F" w:rsidRPr="003C1019" w:rsidRDefault="000A5659" w:rsidP="00FA104E">
                  <w:pPr>
                    <w:spacing w:before="100"/>
                    <w:rPr>
                      <w:rFonts w:ascii="Garamond" w:hAnsi="Garamond"/>
                    </w:rPr>
                  </w:pPr>
                  <w:r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The PFML Advisory Committee </w:t>
                  </w:r>
                  <w:r w:rsidR="000F4DB8">
                    <w:rPr>
                      <w:rFonts w:ascii="Garamond" w:eastAsiaTheme="minorHAnsi" w:hAnsi="Garamond"/>
                      <w:color w:val="000000"/>
                      <w:szCs w:val="24"/>
                    </w:rPr>
                    <w:t>seeks</w:t>
                  </w:r>
                  <w:r w:rsidR="000F4DB8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FA2436" w:rsidRPr="003C1019">
                    <w:rPr>
                      <w:rFonts w:ascii="Garamond" w:eastAsiaTheme="minorHAnsi" w:hAnsi="Garamond"/>
                      <w:color w:val="000000"/>
                      <w:szCs w:val="24"/>
                    </w:rPr>
                    <w:t>to</w:t>
                  </w:r>
                  <w:r w:rsidR="004C0510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  <w:r w:rsidR="004C0510" w:rsidRPr="007A2B18">
                    <w:rPr>
                      <w:rFonts w:ascii="Garamond" w:eastAsiaTheme="minorHAnsi" w:hAnsi="Garamond"/>
                      <w:color w:val="000000"/>
                    </w:rPr>
                    <w:t xml:space="preserve">have employees claim under the plan for which they have the most hours in the qualifying period. </w:t>
                  </w:r>
                  <w:r w:rsidR="00D72E4F" w:rsidRPr="00726F0B">
                    <w:rPr>
                      <w:rFonts w:ascii="Garamond" w:eastAsiaTheme="minorHAnsi" w:hAnsi="Garamond"/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tblpY="-144"/>
              <w:tblOverlap w:val="never"/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0A5659" w:rsidRPr="00E10CD3" w14:paraId="5F944026" w14:textId="77777777" w:rsidTr="000A5659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191BEE5E" w14:textId="77777777" w:rsidR="000A5659" w:rsidRPr="00DF6C99" w:rsidRDefault="000A5659" w:rsidP="003C1019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 w:rsidRPr="00DF6C9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Benefit garnishments by private entities</w:t>
                  </w:r>
                </w:p>
              </w:tc>
            </w:tr>
          </w:tbl>
          <w:p w14:paraId="556DCDE4" w14:textId="77777777" w:rsidR="00D72E4F" w:rsidRPr="00726F0B" w:rsidRDefault="00FD3D9A" w:rsidP="00FA104E">
            <w:pPr>
              <w:spacing w:after="120"/>
              <w:rPr>
                <w:rFonts w:ascii="Garamond" w:eastAsiaTheme="minorHAnsi" w:hAnsi="Garamond"/>
                <w:color w:val="000000"/>
                <w:szCs w:val="24"/>
              </w:rPr>
            </w:pPr>
            <w:r w:rsidRPr="00726F0B">
              <w:rPr>
                <w:rFonts w:ascii="Garamond" w:eastAsiaTheme="minorHAnsi" w:hAnsi="Garamond"/>
                <w:color w:val="000000"/>
                <w:szCs w:val="24"/>
              </w:rPr>
              <w:t>In</w:t>
            </w:r>
            <w:r w:rsidR="00B3138F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950F71" w:rsidRPr="00726F0B">
              <w:rPr>
                <w:rFonts w:ascii="Garamond" w:eastAsiaTheme="minorHAnsi" w:hAnsi="Garamond"/>
                <w:color w:val="000000"/>
                <w:szCs w:val="24"/>
              </w:rPr>
              <w:t>RCW 50.40.020</w:t>
            </w:r>
            <w:r w:rsidR="00DF6C99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, </w:t>
            </w:r>
            <w:r w:rsidR="001945DC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UI law </w:t>
            </w:r>
            <w:r w:rsidR="00AF0378" w:rsidRPr="00726F0B">
              <w:rPr>
                <w:rFonts w:ascii="Garamond" w:eastAsiaTheme="minorHAnsi" w:hAnsi="Garamond"/>
                <w:color w:val="000000"/>
                <w:szCs w:val="24"/>
              </w:rPr>
              <w:t>prohibits private entities from assigning or attaching</w:t>
            </w:r>
            <w:r w:rsidR="005C614E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 unemployment benefits</w:t>
            </w:r>
            <w:r w:rsidR="00D72E4F" w:rsidRPr="00726F0B">
              <w:rPr>
                <w:rFonts w:ascii="Garamond" w:eastAsiaTheme="minorHAnsi" w:hAnsi="Garamond"/>
                <w:color w:val="000000"/>
                <w:szCs w:val="24"/>
              </w:rPr>
              <w:t xml:space="preserve"> to garnishments or liens. This provision is required by federal law for unemployment. </w:t>
            </w:r>
          </w:p>
          <w:p w14:paraId="708086BB" w14:textId="1E0F0202" w:rsidR="001D5056" w:rsidRPr="00FD3D9A" w:rsidRDefault="00C56AE9" w:rsidP="00FA104E">
            <w:pPr>
              <w:spacing w:before="100"/>
              <w:rPr>
                <w:rFonts w:ascii="Garamond" w:hAnsi="Garamond"/>
                <w:b/>
                <w:i/>
                <w:szCs w:val="24"/>
              </w:rPr>
            </w:pPr>
            <w:r w:rsidRPr="00726F0B">
              <w:rPr>
                <w:rFonts w:ascii="Garamond" w:eastAsiaTheme="minorHAnsi" w:hAnsi="Garamond"/>
                <w:color w:val="000000"/>
                <w:szCs w:val="24"/>
              </w:rPr>
              <w:t>ESD proposes adding this provision to the PFML law to help protect indiv</w:t>
            </w:r>
            <w:r w:rsidR="00D9759F">
              <w:rPr>
                <w:rFonts w:ascii="Garamond" w:eastAsiaTheme="minorHAnsi" w:hAnsi="Garamond"/>
                <w:color w:val="000000"/>
                <w:szCs w:val="24"/>
              </w:rPr>
              <w:t>id</w:t>
            </w:r>
            <w:r w:rsidRPr="00726F0B">
              <w:rPr>
                <w:rFonts w:ascii="Garamond" w:eastAsiaTheme="minorHAnsi" w:hAnsi="Garamond"/>
                <w:color w:val="000000"/>
                <w:szCs w:val="24"/>
              </w:rPr>
              <w:t>uals from having their family and medical leave benefits assigned to garn</w:t>
            </w:r>
            <w:r w:rsidR="00FE3993">
              <w:rPr>
                <w:rFonts w:ascii="Garamond" w:eastAsiaTheme="minorHAnsi" w:hAnsi="Garamond"/>
                <w:color w:val="000000"/>
                <w:szCs w:val="24"/>
              </w:rPr>
              <w:t>i</w:t>
            </w:r>
            <w:r w:rsidR="00C12E72">
              <w:rPr>
                <w:rFonts w:ascii="Garamond" w:eastAsiaTheme="minorHAnsi" w:hAnsi="Garamond"/>
                <w:color w:val="000000"/>
                <w:szCs w:val="24"/>
              </w:rPr>
              <w:t>sh</w:t>
            </w:r>
            <w:r w:rsidRPr="00726F0B">
              <w:rPr>
                <w:rFonts w:ascii="Garamond" w:eastAsiaTheme="minorHAnsi" w:hAnsi="Garamond"/>
                <w:color w:val="000000"/>
                <w:szCs w:val="24"/>
              </w:rPr>
              <w:t>ments or liens.</w:t>
            </w:r>
            <w:r w:rsidR="009F4FDD" w:rsidRPr="00FD3D9A">
              <w:rPr>
                <w:rFonts w:ascii="Garamond" w:hAnsi="Garamond"/>
                <w:b/>
                <w:i/>
                <w:szCs w:val="24"/>
              </w:rPr>
              <w:tab/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D5056" w:rsidRPr="00E10CD3" w14:paraId="405B83FB" w14:textId="77777777" w:rsidTr="00BE7128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0DBDAB26" w14:textId="77777777" w:rsidR="001D5056" w:rsidRPr="00E10CD3" w:rsidRDefault="001D5056" w:rsidP="008F743C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 w:rsidRPr="00E10CD3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Voluntary </w:t>
                  </w:r>
                  <w:r w:rsidR="00C56AE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p</w:t>
                  </w:r>
                  <w:r w:rsidRPr="00E10CD3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lan appeals</w:t>
                  </w:r>
                </w:p>
              </w:tc>
            </w:tr>
          </w:tbl>
          <w:p w14:paraId="11E31059" w14:textId="3EC6B46D" w:rsidR="00594C16" w:rsidRDefault="006F02D2" w:rsidP="00FA104E">
            <w:pPr>
              <w:spacing w:after="120"/>
              <w:rPr>
                <w:rFonts w:ascii="Garamond" w:eastAsiaTheme="minorHAnsi" w:hAnsi="Garamond"/>
                <w:color w:val="000000"/>
                <w:szCs w:val="24"/>
              </w:rPr>
            </w:pPr>
            <w:r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For 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PFML </w:t>
            </w:r>
            <w:r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participants </w:t>
            </w:r>
            <w:r w:rsidR="00552FBE">
              <w:rPr>
                <w:rFonts w:ascii="Garamond" w:eastAsiaTheme="minorHAnsi" w:hAnsi="Garamond"/>
                <w:color w:val="000000"/>
                <w:szCs w:val="24"/>
              </w:rPr>
              <w:t>covered by a</w:t>
            </w:r>
            <w:r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Voluntary Plan, </w:t>
            </w:r>
            <w:r w:rsidR="005579A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RCW 50A.04.660 </w:t>
            </w:r>
            <w:r w:rsidRPr="008F743C">
              <w:rPr>
                <w:rFonts w:ascii="Garamond" w:eastAsiaTheme="minorHAnsi" w:hAnsi="Garamond"/>
                <w:color w:val="000000"/>
                <w:szCs w:val="24"/>
              </w:rPr>
              <w:t>provid</w:t>
            </w:r>
            <w:r w:rsidR="00DF126C" w:rsidRPr="008F743C">
              <w:rPr>
                <w:rFonts w:ascii="Garamond" w:eastAsiaTheme="minorHAnsi" w:hAnsi="Garamond"/>
                <w:color w:val="000000"/>
                <w:szCs w:val="24"/>
              </w:rPr>
              <w:t>es</w:t>
            </w:r>
            <w:r w:rsidR="004E63CB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limited</w:t>
            </w:r>
            <w:r w:rsidR="006D5E8D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appeal rights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. </w:t>
            </w:r>
            <w:r w:rsidR="00AE4743" w:rsidRPr="008F743C">
              <w:rPr>
                <w:rFonts w:ascii="Garamond" w:eastAsiaTheme="minorHAnsi" w:hAnsi="Garamond"/>
                <w:color w:val="000000"/>
                <w:szCs w:val="24"/>
              </w:rPr>
              <w:t>Although e</w:t>
            </w:r>
            <w:r w:rsidR="004E63CB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mployers 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have the right </w:t>
            </w:r>
            <w:r w:rsidR="004E63CB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to appeal 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any </w:t>
            </w:r>
            <w:r w:rsidR="00DF126C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decisions from </w:t>
            </w:r>
            <w:r w:rsidR="004E63CB" w:rsidRPr="008F743C">
              <w:rPr>
                <w:rFonts w:ascii="Garamond" w:eastAsiaTheme="minorHAnsi" w:hAnsi="Garamond"/>
                <w:color w:val="000000"/>
                <w:szCs w:val="24"/>
              </w:rPr>
              <w:t>ESD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>,</w:t>
            </w:r>
            <w:r w:rsidR="004E41D9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employees</w:t>
            </w:r>
            <w:r w:rsidR="00552FBE">
              <w:rPr>
                <w:rFonts w:ascii="Garamond" w:eastAsiaTheme="minorHAnsi" w:hAnsi="Garamond"/>
                <w:color w:val="000000"/>
                <w:szCs w:val="24"/>
              </w:rPr>
              <w:t xml:space="preserve"> under a voluntary plan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are only permitted to</w:t>
            </w:r>
            <w:r w:rsidR="004E63CB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appeal 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an </w:t>
            </w:r>
            <w:r w:rsidR="00DF126C" w:rsidRPr="008F743C">
              <w:rPr>
                <w:rFonts w:ascii="Garamond" w:eastAsiaTheme="minorHAnsi" w:hAnsi="Garamond"/>
                <w:color w:val="000000"/>
                <w:szCs w:val="24"/>
              </w:rPr>
              <w:t>employer</w:t>
            </w:r>
            <w:r w:rsidR="00AE4743" w:rsidRPr="008F743C">
              <w:rPr>
                <w:rFonts w:ascii="Garamond" w:eastAsiaTheme="minorHAnsi" w:hAnsi="Garamond"/>
                <w:color w:val="000000"/>
                <w:szCs w:val="24"/>
              </w:rPr>
              <w:t>’</w:t>
            </w:r>
            <w:r w:rsidR="00DF126C" w:rsidRPr="008F743C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="004E63CB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denial of liability for PFML benefits. 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This leaves many decisions by </w:t>
            </w:r>
            <w:r w:rsidR="00104940" w:rsidRPr="008F743C">
              <w:rPr>
                <w:rFonts w:ascii="Garamond" w:eastAsiaTheme="minorHAnsi" w:hAnsi="Garamond"/>
                <w:color w:val="000000"/>
                <w:szCs w:val="24"/>
              </w:rPr>
              <w:lastRenderedPageBreak/>
              <w:t>voluntary plan employers relate</w:t>
            </w:r>
            <w:r w:rsidR="00B3138F" w:rsidRPr="00B3138F">
              <w:rPr>
                <w:rFonts w:ascii="Garamond" w:eastAsiaTheme="minorHAnsi" w:hAnsi="Garamond"/>
                <w:color w:val="000000"/>
                <w:szCs w:val="24"/>
              </w:rPr>
              <w:t>d</w:t>
            </w:r>
            <w:r w:rsidR="00104940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 to employees</w:t>
            </w:r>
            <w:r w:rsidR="00AE4743" w:rsidRPr="00477156">
              <w:rPr>
                <w:rFonts w:ascii="Garamond" w:eastAsiaTheme="minorHAnsi" w:hAnsi="Garamond"/>
                <w:color w:val="000000"/>
                <w:szCs w:val="24"/>
              </w:rPr>
              <w:t>’</w:t>
            </w:r>
            <w:r w:rsidR="00104940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 claim</w:t>
            </w:r>
            <w:r w:rsidR="00AE4743" w:rsidRPr="00477156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="00104940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 exempt from the administrative review and </w:t>
            </w:r>
            <w:r w:rsidR="00594C16">
              <w:rPr>
                <w:rFonts w:ascii="Garamond" w:eastAsiaTheme="minorHAnsi" w:hAnsi="Garamond"/>
                <w:color w:val="000000"/>
                <w:szCs w:val="24"/>
              </w:rPr>
              <w:t xml:space="preserve">the </w:t>
            </w:r>
            <w:r w:rsidR="00104940" w:rsidRPr="00477156">
              <w:rPr>
                <w:rFonts w:ascii="Garamond" w:eastAsiaTheme="minorHAnsi" w:hAnsi="Garamond"/>
                <w:color w:val="000000"/>
                <w:szCs w:val="24"/>
              </w:rPr>
              <w:t>appeal process.</w:t>
            </w:r>
            <w:r w:rsidR="005C12EA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5579A0" w:rsidRPr="00477156">
              <w:rPr>
                <w:rFonts w:ascii="Garamond" w:eastAsiaTheme="minorHAnsi" w:hAnsi="Garamond"/>
                <w:color w:val="000000"/>
                <w:szCs w:val="24"/>
              </w:rPr>
              <w:t>In</w:t>
            </w:r>
            <w:r w:rsidR="00B01326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 contrast, employers </w:t>
            </w:r>
            <w:r w:rsidR="004E63CB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and employees </w:t>
            </w:r>
            <w:r w:rsidR="00B01326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participating in the state plan can appeal </w:t>
            </w:r>
            <w:r w:rsidR="005579A0" w:rsidRPr="00477156">
              <w:rPr>
                <w:rFonts w:ascii="Garamond" w:eastAsiaTheme="minorHAnsi" w:hAnsi="Garamond"/>
                <w:color w:val="000000"/>
                <w:szCs w:val="24"/>
              </w:rPr>
              <w:t>a wide variety of issues</w:t>
            </w:r>
            <w:r w:rsidR="004E63CB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. </w:t>
            </w:r>
          </w:p>
          <w:p w14:paraId="4EF6E9D8" w14:textId="77777777" w:rsidR="001D008B" w:rsidRPr="00477156" w:rsidRDefault="00594C16" w:rsidP="00FA104E">
            <w:pPr>
              <w:spacing w:before="100"/>
              <w:rPr>
                <w:rFonts w:ascii="Garamond" w:eastAsiaTheme="minorHAnsi" w:hAnsi="Garamond"/>
                <w:color w:val="000000"/>
                <w:szCs w:val="24"/>
              </w:rPr>
            </w:pPr>
            <w:r>
              <w:rPr>
                <w:rFonts w:ascii="Garamond" w:eastAsiaTheme="minorHAnsi" w:hAnsi="Garamond"/>
                <w:color w:val="000000"/>
                <w:szCs w:val="24"/>
              </w:rPr>
              <w:t>T</w:t>
            </w:r>
            <w:r w:rsidR="004E63CB" w:rsidRPr="00477156">
              <w:rPr>
                <w:rFonts w:ascii="Garamond" w:eastAsiaTheme="minorHAnsi" w:hAnsi="Garamond"/>
                <w:color w:val="000000"/>
                <w:szCs w:val="24"/>
              </w:rPr>
              <w:t>he agency</w:t>
            </w:r>
            <w:r w:rsidR="005579A0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 recommends making </w:t>
            </w:r>
            <w:r w:rsidR="00EB4439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appeal rights consistent </w:t>
            </w:r>
            <w:r w:rsidR="005579A0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between </w:t>
            </w:r>
            <w:r w:rsidR="004E63CB" w:rsidRPr="00477156">
              <w:rPr>
                <w:rFonts w:ascii="Garamond" w:eastAsiaTheme="minorHAnsi" w:hAnsi="Garamond"/>
                <w:color w:val="000000"/>
                <w:szCs w:val="24"/>
              </w:rPr>
              <w:t xml:space="preserve">state plans and </w:t>
            </w:r>
            <w:r w:rsidR="00EB4439" w:rsidRPr="00477156">
              <w:rPr>
                <w:rFonts w:ascii="Garamond" w:eastAsiaTheme="minorHAnsi" w:hAnsi="Garamond"/>
                <w:color w:val="000000"/>
                <w:szCs w:val="24"/>
              </w:rPr>
              <w:t>voluntary plans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 to ensure equity and access to justice for all participants. </w:t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D5056" w:rsidRPr="00E10CD3" w14:paraId="4FC0E801" w14:textId="77777777" w:rsidTr="00BE7128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7175D031" w14:textId="77777777" w:rsidR="001D5056" w:rsidRPr="00B3138F" w:rsidRDefault="00DF126C" w:rsidP="00D9759F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bookmarkStart w:id="0" w:name="_GoBack"/>
                  <w:bookmarkEnd w:id="0"/>
                  <w:r w:rsidRPr="00E10CD3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Voluntary </w:t>
                  </w:r>
                  <w:r w:rsidR="00C56AE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p</w:t>
                  </w:r>
                  <w:r w:rsidRPr="00E10CD3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lan </w:t>
                  </w:r>
                  <w:r w:rsidR="00C56AE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e</w:t>
                  </w:r>
                  <w:r w:rsidR="00104940" w:rsidRPr="00B3138F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mployer </w:t>
                  </w:r>
                  <w:r w:rsidR="00C56AE9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f</w:t>
                  </w:r>
                  <w:r w:rsidR="00104940" w:rsidRPr="00B3138F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lexibility</w:t>
                  </w:r>
                </w:p>
              </w:tc>
            </w:tr>
          </w:tbl>
          <w:p w14:paraId="3691401C" w14:textId="77777777" w:rsidR="005C12EA" w:rsidRDefault="00104940" w:rsidP="00FA104E">
            <w:pPr>
              <w:spacing w:after="120"/>
              <w:rPr>
                <w:rFonts w:ascii="Garamond" w:eastAsiaTheme="minorHAnsi" w:hAnsi="Garamond"/>
                <w:color w:val="000000"/>
                <w:szCs w:val="24"/>
              </w:rPr>
            </w:pP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The employee eligibility requirements for approved Voluntary Plans in </w:t>
            </w:r>
            <w:r w:rsidR="005579A0" w:rsidRPr="00ED0694">
              <w:rPr>
                <w:rFonts w:ascii="Garamond" w:eastAsiaTheme="minorHAnsi" w:hAnsi="Garamond"/>
                <w:color w:val="000000"/>
                <w:szCs w:val="24"/>
              </w:rPr>
              <w:t>RCW 50A.04.610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do not </w:t>
            </w:r>
            <w:r w:rsidR="009C6A19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grant employers the flexibility 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>to offer more generous benefits than employee</w:t>
            </w:r>
            <w:r w:rsidR="009C6A19" w:rsidRPr="00ED0694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would receive in the state plan </w:t>
            </w:r>
            <w:r w:rsidR="00C80B4C">
              <w:rPr>
                <w:rFonts w:ascii="Garamond" w:eastAsiaTheme="minorHAnsi" w:hAnsi="Garamond"/>
                <w:color w:val="000000"/>
                <w:szCs w:val="24"/>
              </w:rPr>
              <w:t xml:space="preserve">due to 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hourly eligibility requirements. </w:t>
            </w:r>
            <w:r w:rsidR="005E45B9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RCW 50A.04.610(1) </w:t>
            </w:r>
            <w:r w:rsidR="005200FB">
              <w:rPr>
                <w:rFonts w:ascii="Garamond" w:eastAsiaTheme="minorHAnsi" w:hAnsi="Garamond"/>
                <w:color w:val="000000"/>
                <w:szCs w:val="24"/>
              </w:rPr>
              <w:t>states</w:t>
            </w:r>
            <w:r w:rsidR="005200FB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5579A0" w:rsidRPr="00ED0694">
              <w:rPr>
                <w:rFonts w:ascii="Garamond" w:eastAsiaTheme="minorHAnsi" w:hAnsi="Garamond"/>
                <w:color w:val="000000"/>
                <w:szCs w:val="24"/>
              </w:rPr>
              <w:t>that</w:t>
            </w:r>
            <w:r w:rsidR="005E45B9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“</w:t>
            </w:r>
            <w:r w:rsidR="006E1624" w:rsidRPr="00ED0694">
              <w:rPr>
                <w:rFonts w:ascii="Garamond" w:eastAsiaTheme="minorHAnsi" w:hAnsi="Garamond"/>
                <w:color w:val="000000"/>
                <w:szCs w:val="24"/>
              </w:rPr>
              <w:t>[a]</w:t>
            </w:r>
            <w:r w:rsidR="005E45B9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n employee qualifies for benefits under an employer's voluntary plan </w:t>
            </w:r>
            <w:r w:rsidR="005E45B9" w:rsidRPr="00726F0B">
              <w:rPr>
                <w:rFonts w:ascii="Garamond" w:eastAsiaTheme="minorHAnsi" w:hAnsi="Garamond"/>
                <w:color w:val="000000"/>
                <w:szCs w:val="24"/>
              </w:rPr>
              <w:t>only</w:t>
            </w:r>
            <w:r w:rsidR="005E45B9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after the employee works at least three hundred forty hours for the current employer</w:t>
            </w:r>
            <w:r w:rsidR="005200FB">
              <w:rPr>
                <w:rFonts w:ascii="Garamond" w:eastAsiaTheme="minorHAnsi" w:hAnsi="Garamond"/>
                <w:color w:val="000000"/>
                <w:szCs w:val="24"/>
              </w:rPr>
              <w:t>.</w:t>
            </w:r>
            <w:r w:rsidR="005579A0" w:rsidRPr="00ED0694">
              <w:rPr>
                <w:rFonts w:ascii="Garamond" w:eastAsiaTheme="minorHAnsi" w:hAnsi="Garamond"/>
                <w:color w:val="000000"/>
                <w:szCs w:val="24"/>
              </w:rPr>
              <w:t>”</w:t>
            </w:r>
            <w:r w:rsidR="005200FB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5E45B9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The inclusion of </w:t>
            </w:r>
            <w:r w:rsidR="005579A0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the word </w:t>
            </w:r>
            <w:r w:rsidR="006E1624" w:rsidRPr="00ED0694">
              <w:rPr>
                <w:rFonts w:ascii="Garamond" w:eastAsiaTheme="minorHAnsi" w:hAnsi="Garamond"/>
                <w:color w:val="000000"/>
                <w:szCs w:val="24"/>
              </w:rPr>
              <w:t>“</w:t>
            </w:r>
            <w:r w:rsidR="005E45B9" w:rsidRPr="00ED0694">
              <w:rPr>
                <w:rFonts w:ascii="Garamond" w:eastAsiaTheme="minorHAnsi" w:hAnsi="Garamond"/>
                <w:color w:val="000000"/>
                <w:szCs w:val="24"/>
              </w:rPr>
              <w:t>only</w:t>
            </w:r>
            <w:r w:rsidR="006E1624" w:rsidRPr="00ED0694">
              <w:rPr>
                <w:rFonts w:ascii="Garamond" w:eastAsiaTheme="minorHAnsi" w:hAnsi="Garamond"/>
                <w:color w:val="000000"/>
                <w:szCs w:val="24"/>
              </w:rPr>
              <w:t>”</w:t>
            </w:r>
            <w:r w:rsidR="00A21684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CD1B3D">
              <w:rPr>
                <w:rFonts w:ascii="Garamond" w:eastAsiaTheme="minorHAnsi" w:hAnsi="Garamond"/>
                <w:color w:val="000000"/>
                <w:szCs w:val="24"/>
              </w:rPr>
              <w:t xml:space="preserve">requires employees to have worked 340 hours for that employer before they can enter the employer’s voluntary plan.  </w:t>
            </w:r>
          </w:p>
          <w:p w14:paraId="7D555287" w14:textId="77777777" w:rsidR="00104940" w:rsidRPr="00ED0694" w:rsidRDefault="006F02D2" w:rsidP="00FA104E">
            <w:pPr>
              <w:spacing w:before="100"/>
              <w:rPr>
                <w:rFonts w:ascii="Garamond" w:eastAsiaTheme="minorHAnsi" w:hAnsi="Garamond"/>
                <w:color w:val="000000"/>
                <w:szCs w:val="24"/>
              </w:rPr>
            </w:pP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ESD proposes </w:t>
            </w:r>
            <w:r w:rsidR="00E4726C">
              <w:rPr>
                <w:rFonts w:ascii="Garamond" w:eastAsiaTheme="minorHAnsi" w:hAnsi="Garamond"/>
                <w:color w:val="000000"/>
                <w:szCs w:val="24"/>
              </w:rPr>
              <w:t xml:space="preserve">amending the law to allow employers with approved voluntary plans to allow employees into their voluntary plan without first meeting the 340 hour requirement, should </w:t>
            </w:r>
            <w:r w:rsidR="008613E7">
              <w:rPr>
                <w:rFonts w:ascii="Garamond" w:eastAsiaTheme="minorHAnsi" w:hAnsi="Garamond"/>
                <w:color w:val="000000"/>
                <w:szCs w:val="24"/>
              </w:rPr>
              <w:t xml:space="preserve">the employer </w:t>
            </w:r>
            <w:r w:rsidR="00E4726C">
              <w:rPr>
                <w:rFonts w:ascii="Garamond" w:eastAsiaTheme="minorHAnsi" w:hAnsi="Garamond"/>
                <w:color w:val="000000"/>
                <w:szCs w:val="24"/>
              </w:rPr>
              <w:t xml:space="preserve">chose to do so. </w:t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D5056" w:rsidRPr="00E10CD3" w14:paraId="76166ECA" w14:textId="77777777" w:rsidTr="00BE7128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4D4BF583" w14:textId="77777777" w:rsidR="001D5056" w:rsidRPr="00B3138F" w:rsidRDefault="004F25CF" w:rsidP="00ED0694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 w:rsidRPr="00E10CD3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Child support </w:t>
                  </w:r>
                  <w:r w:rsidRPr="00B3138F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obligation</w:t>
                  </w:r>
                </w:p>
              </w:tc>
            </w:tr>
          </w:tbl>
          <w:p w14:paraId="55A5312B" w14:textId="77777777" w:rsidR="00726F0B" w:rsidRDefault="007816A4" w:rsidP="00FA104E">
            <w:pPr>
              <w:spacing w:after="120"/>
              <w:rPr>
                <w:rFonts w:ascii="Garamond" w:eastAsiaTheme="minorHAnsi" w:hAnsi="Garamond"/>
                <w:color w:val="000000"/>
                <w:szCs w:val="24"/>
              </w:rPr>
            </w:pPr>
            <w:r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The </w:t>
            </w:r>
            <w:r w:rsidR="00ED0694">
              <w:rPr>
                <w:rFonts w:ascii="Garamond" w:eastAsiaTheme="minorHAnsi" w:hAnsi="Garamond"/>
                <w:color w:val="000000"/>
                <w:szCs w:val="24"/>
              </w:rPr>
              <w:t>PFML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1D6A6A">
              <w:rPr>
                <w:rFonts w:ascii="Garamond" w:eastAsiaTheme="minorHAnsi" w:hAnsi="Garamond"/>
                <w:color w:val="000000"/>
                <w:szCs w:val="24"/>
              </w:rPr>
              <w:t>Act</w:t>
            </w:r>
            <w:r w:rsidR="001D6A6A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>direct</w:t>
            </w:r>
            <w:r w:rsidR="00ED0694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ED0694">
              <w:rPr>
                <w:rFonts w:ascii="Garamond" w:eastAsiaTheme="minorHAnsi" w:hAnsi="Garamond"/>
                <w:color w:val="000000"/>
                <w:szCs w:val="24"/>
              </w:rPr>
              <w:t>ESD’s</w:t>
            </w:r>
            <w:r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handling of employee PFML benefits when the employee owes child support. </w:t>
            </w:r>
            <w:r w:rsidR="00CE1A79">
              <w:rPr>
                <w:rFonts w:ascii="Garamond" w:eastAsiaTheme="minorHAnsi" w:hAnsi="Garamond"/>
                <w:color w:val="000000"/>
                <w:szCs w:val="24"/>
              </w:rPr>
              <w:t>W</w:t>
            </w:r>
            <w:r w:rsidR="00F64E46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hen employees owe child support </w:t>
            </w:r>
            <w:r w:rsidR="00ED0694">
              <w:rPr>
                <w:rFonts w:ascii="Garamond" w:eastAsiaTheme="minorHAnsi" w:hAnsi="Garamond"/>
                <w:color w:val="000000"/>
                <w:szCs w:val="24"/>
              </w:rPr>
              <w:t>ESD is required</w:t>
            </w:r>
            <w:r w:rsidR="00F64E46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to</w:t>
            </w:r>
            <w:r w:rsidR="00B3138F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557271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withhold child support from 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an </w:t>
            </w:r>
            <w:r w:rsidR="00557271" w:rsidRPr="00ED0694">
              <w:rPr>
                <w:rFonts w:ascii="Garamond" w:eastAsiaTheme="minorHAnsi" w:hAnsi="Garamond"/>
                <w:color w:val="000000"/>
                <w:szCs w:val="24"/>
              </w:rPr>
              <w:t>employee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>’</w:t>
            </w:r>
            <w:r w:rsidR="00557271" w:rsidRPr="00ED0694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="00687EFE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benefit payments</w:t>
            </w:r>
            <w:r w:rsidR="00ED0694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ED0694" w:rsidRPr="003E5BC1">
              <w:rPr>
                <w:rFonts w:ascii="Garamond" w:eastAsiaTheme="minorHAnsi" w:hAnsi="Garamond"/>
                <w:color w:val="000000"/>
                <w:szCs w:val="24"/>
              </w:rPr>
              <w:t>only</w:t>
            </w:r>
            <w:r w:rsidR="00F4671E" w:rsidRPr="003E5BC1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F4671E" w:rsidRPr="008F743C">
              <w:rPr>
                <w:rFonts w:ascii="Garamond" w:eastAsiaTheme="minorHAnsi" w:hAnsi="Garamond"/>
                <w:color w:val="000000"/>
                <w:szCs w:val="24"/>
              </w:rPr>
              <w:t>if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the </w:t>
            </w:r>
            <w:r w:rsidR="00FF3232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employee </w:t>
            </w:r>
            <w:r w:rsidR="006E1624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voluntarily </w:t>
            </w:r>
            <w:r w:rsidR="006F02D2" w:rsidRPr="00ED0694">
              <w:rPr>
                <w:rFonts w:ascii="Garamond" w:eastAsiaTheme="minorHAnsi" w:hAnsi="Garamond"/>
                <w:color w:val="000000"/>
                <w:szCs w:val="24"/>
              </w:rPr>
              <w:t>tell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>s</w:t>
            </w:r>
            <w:r w:rsidR="006F02D2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the agency they owe </w:t>
            </w:r>
            <w:r w:rsidRPr="00ED0694">
              <w:rPr>
                <w:rFonts w:ascii="Garamond" w:eastAsiaTheme="minorHAnsi" w:hAnsi="Garamond"/>
                <w:color w:val="000000"/>
                <w:szCs w:val="24"/>
              </w:rPr>
              <w:t>child support</w:t>
            </w:r>
            <w:r w:rsidR="00CE1A79">
              <w:rPr>
                <w:rFonts w:ascii="Garamond" w:eastAsiaTheme="minorHAnsi" w:hAnsi="Garamond"/>
                <w:color w:val="000000"/>
                <w:szCs w:val="24"/>
              </w:rPr>
              <w:t xml:space="preserve"> (</w:t>
            </w:r>
            <w:r w:rsidR="00CE1A79" w:rsidRPr="00726F0B">
              <w:rPr>
                <w:rFonts w:ascii="Garamond" w:eastAsiaTheme="minorHAnsi" w:hAnsi="Garamond"/>
                <w:color w:val="000000"/>
                <w:szCs w:val="24"/>
              </w:rPr>
              <w:t>see</w:t>
            </w:r>
            <w:r w:rsidR="00CE1A79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CE1A79" w:rsidRPr="00030952">
              <w:rPr>
                <w:rFonts w:ascii="Garamond" w:eastAsiaTheme="minorHAnsi" w:hAnsi="Garamond"/>
                <w:color w:val="000000"/>
                <w:szCs w:val="24"/>
              </w:rPr>
              <w:t>RCW 50A.04.035</w:t>
            </w:r>
            <w:r w:rsidR="00CE1A79">
              <w:rPr>
                <w:rFonts w:ascii="Garamond" w:eastAsiaTheme="minorHAnsi" w:hAnsi="Garamond"/>
                <w:color w:val="000000"/>
                <w:szCs w:val="24"/>
              </w:rPr>
              <w:t xml:space="preserve">, </w:t>
            </w:r>
            <w:r w:rsidR="00CE1A79" w:rsidRPr="00030952">
              <w:rPr>
                <w:rFonts w:ascii="Garamond" w:eastAsiaTheme="minorHAnsi" w:hAnsi="Garamond"/>
                <w:color w:val="000000"/>
                <w:szCs w:val="24"/>
              </w:rPr>
              <w:t>RCW 50A.04.060</w:t>
            </w:r>
            <w:r w:rsidR="00CE1A79">
              <w:rPr>
                <w:rFonts w:ascii="Garamond" w:eastAsiaTheme="minorHAnsi" w:hAnsi="Garamond"/>
                <w:color w:val="000000"/>
                <w:szCs w:val="24"/>
              </w:rPr>
              <w:t xml:space="preserve">). </w:t>
            </w:r>
          </w:p>
          <w:p w14:paraId="3D5C2D24" w14:textId="77777777" w:rsidR="001D008B" w:rsidRPr="00726F0B" w:rsidRDefault="00304E72" w:rsidP="00FA104E">
            <w:pPr>
              <w:spacing w:before="100"/>
              <w:rPr>
                <w:rFonts w:ascii="Garamond" w:eastAsiaTheme="minorHAnsi" w:hAnsi="Garamond"/>
                <w:color w:val="000000"/>
                <w:szCs w:val="24"/>
              </w:rPr>
            </w:pPr>
            <w:r>
              <w:rPr>
                <w:rFonts w:ascii="Garamond" w:eastAsiaTheme="minorHAnsi" w:hAnsi="Garamond"/>
                <w:color w:val="000000"/>
                <w:szCs w:val="24"/>
              </w:rPr>
              <w:t>ESD supports</w:t>
            </w:r>
            <w:r w:rsidR="00E156EC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amending these sections to give the agency</w:t>
            </w:r>
            <w:r w:rsidR="00FF3232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the express </w:t>
            </w:r>
            <w:r w:rsidR="006E1624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authority </w:t>
            </w:r>
            <w:r w:rsidR="00FF3232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to </w:t>
            </w:r>
            <w:r w:rsidR="00687EFE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perform cross-checks against </w:t>
            </w:r>
            <w:r w:rsidR="00FE6810" w:rsidRPr="00ED0694">
              <w:rPr>
                <w:rFonts w:ascii="Garamond" w:eastAsiaTheme="minorHAnsi" w:hAnsi="Garamond"/>
                <w:color w:val="000000"/>
                <w:szCs w:val="24"/>
              </w:rPr>
              <w:t>Department of Social and Health Services</w:t>
            </w:r>
            <w:r w:rsidR="00A21684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records</w:t>
            </w:r>
            <w:r w:rsidR="00FF3232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6E1624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and </w:t>
            </w:r>
            <w:r w:rsidR="00687EFE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to </w:t>
            </w:r>
            <w:r w:rsidR="00FF3232" w:rsidRPr="00ED0694">
              <w:rPr>
                <w:rFonts w:ascii="Garamond" w:eastAsiaTheme="minorHAnsi" w:hAnsi="Garamond"/>
                <w:color w:val="000000"/>
                <w:szCs w:val="24"/>
              </w:rPr>
              <w:t>withhold child support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 with</w:t>
            </w:r>
            <w:r w:rsidR="009F2D9B">
              <w:rPr>
                <w:rFonts w:ascii="Garamond" w:eastAsiaTheme="minorHAnsi" w:hAnsi="Garamond"/>
                <w:color w:val="000000"/>
                <w:szCs w:val="24"/>
              </w:rPr>
              <w:t xml:space="preserve"> or without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 the</w:t>
            </w:r>
            <w:r w:rsidR="00687EFE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employee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’</w:t>
            </w:r>
            <w:r w:rsidR="006F02D2" w:rsidRPr="00ED0694">
              <w:rPr>
                <w:rFonts w:ascii="Garamond" w:eastAsiaTheme="minorHAnsi" w:hAnsi="Garamond"/>
                <w:color w:val="000000"/>
                <w:szCs w:val="24"/>
              </w:rPr>
              <w:t>s voluntarily disclos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ure of</w:t>
            </w:r>
            <w:r w:rsidR="00687EFE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the</w:t>
            </w:r>
            <w:r w:rsidR="00A21684" w:rsidRPr="00ED0694">
              <w:rPr>
                <w:rFonts w:ascii="Garamond" w:eastAsiaTheme="minorHAnsi" w:hAnsi="Garamond"/>
                <w:color w:val="000000"/>
                <w:szCs w:val="24"/>
              </w:rPr>
              <w:t xml:space="preserve"> obligation</w:t>
            </w:r>
            <w:r w:rsidR="00687EFE" w:rsidRPr="00ED0694">
              <w:rPr>
                <w:rFonts w:ascii="Garamond" w:eastAsiaTheme="minorHAnsi" w:hAnsi="Garamond"/>
                <w:color w:val="000000"/>
                <w:szCs w:val="24"/>
              </w:rPr>
              <w:t>.</w:t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1D008B" w:rsidRPr="00E10CD3" w14:paraId="73270958" w14:textId="77777777" w:rsidTr="00BE7128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143C94D9" w14:textId="77777777" w:rsidR="001D008B" w:rsidRPr="00B3138F" w:rsidRDefault="000A2B9C" w:rsidP="003C6FE3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 w:rsidRPr="00B3138F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 xml:space="preserve">Non-charging UI benefits </w:t>
                  </w:r>
                </w:p>
              </w:tc>
            </w:tr>
          </w:tbl>
          <w:p w14:paraId="3B9E5DDE" w14:textId="77777777" w:rsidR="000B4D66" w:rsidRPr="003C6FE3" w:rsidRDefault="00F64E46" w:rsidP="00FA104E">
            <w:pPr>
              <w:spacing w:after="120"/>
              <w:rPr>
                <w:rFonts w:ascii="Garamond" w:eastAsiaTheme="minorHAnsi" w:hAnsi="Garamond"/>
                <w:color w:val="000000"/>
                <w:szCs w:val="24"/>
              </w:rPr>
            </w:pPr>
            <w:r w:rsidRPr="003C6FE3">
              <w:rPr>
                <w:rFonts w:ascii="Garamond" w:eastAsiaTheme="minorHAnsi" w:hAnsi="Garamond"/>
                <w:color w:val="000000"/>
                <w:szCs w:val="24"/>
              </w:rPr>
              <w:t>The</w:t>
            </w:r>
            <w:r w:rsidR="00336D89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PFML </w:t>
            </w:r>
            <w:r w:rsidR="001D6A6A">
              <w:rPr>
                <w:rFonts w:ascii="Garamond" w:eastAsiaTheme="minorHAnsi" w:hAnsi="Garamond"/>
                <w:color w:val="000000"/>
                <w:szCs w:val="24"/>
              </w:rPr>
              <w:t>Act</w:t>
            </w:r>
            <w:r w:rsidR="001D6A6A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Pr="003C6FE3">
              <w:rPr>
                <w:rFonts w:ascii="Garamond" w:eastAsiaTheme="minorHAnsi" w:hAnsi="Garamond"/>
                <w:color w:val="000000"/>
                <w:szCs w:val="24"/>
              </w:rPr>
              <w:t>added</w:t>
            </w:r>
            <w:r w:rsidR="00B3138F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336D89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language to </w:t>
            </w:r>
            <w:r w:rsidR="003E5BC1">
              <w:rPr>
                <w:rFonts w:ascii="Garamond" w:eastAsiaTheme="minorHAnsi" w:hAnsi="Garamond"/>
                <w:color w:val="000000"/>
                <w:szCs w:val="24"/>
              </w:rPr>
              <w:t xml:space="preserve">the UI law </w:t>
            </w:r>
            <w:r w:rsidR="00336D89" w:rsidRPr="003C6FE3">
              <w:rPr>
                <w:rFonts w:ascii="Garamond" w:eastAsiaTheme="minorHAnsi" w:hAnsi="Garamond"/>
                <w:color w:val="000000"/>
                <w:szCs w:val="24"/>
              </w:rPr>
              <w:t>to allow an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employer</w:t>
            </w:r>
            <w:r w:rsidR="008613E7">
              <w:rPr>
                <w:rFonts w:ascii="Garamond" w:eastAsiaTheme="minorHAnsi" w:hAnsi="Garamond"/>
                <w:color w:val="000000"/>
                <w:szCs w:val="24"/>
              </w:rPr>
              <w:t>,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who hires a replacement worker</w:t>
            </w:r>
            <w:r w:rsidR="00B3138F">
              <w:rPr>
                <w:rFonts w:ascii="Garamond" w:eastAsiaTheme="minorHAnsi" w:hAnsi="Garamond"/>
                <w:color w:val="000000"/>
                <w:szCs w:val="24"/>
              </w:rPr>
              <w:t xml:space="preserve"> to fill in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for a</w:t>
            </w:r>
            <w:r w:rsidR="00B3138F">
              <w:rPr>
                <w:rFonts w:ascii="Garamond" w:eastAsiaTheme="minorHAnsi" w:hAnsi="Garamond"/>
                <w:color w:val="000000"/>
                <w:szCs w:val="24"/>
              </w:rPr>
              <w:t xml:space="preserve">n 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employee who is taking </w:t>
            </w:r>
            <w:r w:rsidR="00336D89" w:rsidRPr="003C6FE3">
              <w:rPr>
                <w:rFonts w:ascii="Garamond" w:eastAsiaTheme="minorHAnsi" w:hAnsi="Garamond"/>
                <w:color w:val="000000"/>
                <w:szCs w:val="24"/>
              </w:rPr>
              <w:t>PFML benefits</w:t>
            </w:r>
            <w:r w:rsidR="008613E7">
              <w:rPr>
                <w:rFonts w:ascii="Garamond" w:eastAsiaTheme="minorHAnsi" w:hAnsi="Garamond"/>
                <w:color w:val="000000"/>
                <w:szCs w:val="24"/>
              </w:rPr>
              <w:t>,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0A2B9C" w:rsidRPr="003C6FE3">
              <w:rPr>
                <w:rFonts w:ascii="Garamond" w:eastAsiaTheme="minorHAnsi" w:hAnsi="Garamond"/>
                <w:color w:val="000000"/>
                <w:szCs w:val="24"/>
              </w:rPr>
              <w:t>to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apply to have any </w:t>
            </w:r>
            <w:r w:rsidR="003E5BC1">
              <w:rPr>
                <w:rFonts w:ascii="Garamond" w:eastAsiaTheme="minorHAnsi" w:hAnsi="Garamond"/>
                <w:color w:val="000000"/>
                <w:szCs w:val="24"/>
              </w:rPr>
              <w:t>UI</w:t>
            </w:r>
            <w:r w:rsidR="003E5BC1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>benefits paid to the replacement worker once they are laid off “non-charged” so the employer</w:t>
            </w:r>
            <w:r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’s 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>UI experience rating</w:t>
            </w:r>
            <w:r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does not increase</w:t>
            </w:r>
            <w:r w:rsidR="003E5BC1">
              <w:rPr>
                <w:rFonts w:ascii="Garamond" w:eastAsiaTheme="minorHAnsi" w:hAnsi="Garamond"/>
                <w:color w:val="000000"/>
                <w:szCs w:val="24"/>
              </w:rPr>
              <w:t xml:space="preserve"> (</w:t>
            </w:r>
            <w:r w:rsidR="003E5BC1" w:rsidRPr="00726F0B">
              <w:rPr>
                <w:rFonts w:ascii="Garamond" w:eastAsiaTheme="minorHAnsi" w:hAnsi="Garamond"/>
                <w:color w:val="000000"/>
                <w:szCs w:val="24"/>
              </w:rPr>
              <w:t>see</w:t>
            </w:r>
            <w:r w:rsidR="003E5BC1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3E5BC1" w:rsidRPr="003C6FE3">
              <w:rPr>
                <w:rFonts w:ascii="Garamond" w:eastAsiaTheme="minorHAnsi" w:hAnsi="Garamond"/>
                <w:color w:val="000000"/>
                <w:szCs w:val="24"/>
              </w:rPr>
              <w:t>RCW 50.29.021</w:t>
            </w:r>
            <w:r w:rsidR="003E5BC1">
              <w:rPr>
                <w:rFonts w:ascii="Garamond" w:eastAsiaTheme="minorHAnsi" w:hAnsi="Garamond"/>
                <w:color w:val="000000"/>
                <w:szCs w:val="24"/>
              </w:rPr>
              <w:t>)</w:t>
            </w:r>
            <w:r w:rsidR="0043219E" w:rsidRPr="003C6FE3">
              <w:rPr>
                <w:rFonts w:ascii="Garamond" w:eastAsiaTheme="minorHAnsi" w:hAnsi="Garamond"/>
                <w:color w:val="000000"/>
                <w:szCs w:val="24"/>
              </w:rPr>
              <w:t>.</w:t>
            </w:r>
            <w:r w:rsidR="00336D89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 These “non-charged” benefits will ultimately be paid by a transfer from the PFML insurance account to make the UI Trust Fund whole.</w:t>
            </w:r>
            <w:r w:rsidR="003E5BC1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The added language incorrectly references an “employee receiving family or medical leave benefits under this chapter</w:t>
            </w:r>
            <w:r w:rsidR="003E5BC1">
              <w:rPr>
                <w:rFonts w:ascii="Garamond" w:eastAsiaTheme="minorHAnsi" w:hAnsi="Garamond"/>
                <w:color w:val="000000"/>
                <w:szCs w:val="24"/>
              </w:rPr>
              <w:t>,</w:t>
            </w:r>
            <w:r w:rsidR="003E5BC1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” which technically refers to unemployment compensation benefits. It should reference benefits received under Title 50A.04 RCW, the </w:t>
            </w:r>
            <w:r w:rsidR="008613E7">
              <w:rPr>
                <w:rFonts w:ascii="Garamond" w:eastAsiaTheme="minorHAnsi" w:hAnsi="Garamond"/>
                <w:color w:val="000000"/>
                <w:szCs w:val="24"/>
              </w:rPr>
              <w:t>PFML</w:t>
            </w:r>
            <w:r w:rsidR="003E5BC1"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3E5BC1">
              <w:rPr>
                <w:rFonts w:ascii="Garamond" w:eastAsiaTheme="minorHAnsi" w:hAnsi="Garamond"/>
                <w:color w:val="000000"/>
                <w:szCs w:val="24"/>
              </w:rPr>
              <w:t>Act</w:t>
            </w:r>
            <w:r w:rsidR="003E5BC1" w:rsidRPr="008F743C">
              <w:rPr>
                <w:rFonts w:ascii="Garamond" w:eastAsiaTheme="minorHAnsi" w:hAnsi="Garamond"/>
                <w:color w:val="000000"/>
                <w:szCs w:val="24"/>
              </w:rPr>
              <w:t>.</w:t>
            </w:r>
          </w:p>
          <w:p w14:paraId="4583F2E0" w14:textId="77777777" w:rsidR="00A034D4" w:rsidRPr="003C6FE3" w:rsidRDefault="003E5BC1" w:rsidP="00FA104E">
            <w:pPr>
              <w:spacing w:before="100"/>
              <w:rPr>
                <w:rFonts w:ascii="Garamond" w:eastAsiaTheme="minorHAnsi" w:hAnsi="Garamond"/>
                <w:color w:val="000000"/>
                <w:szCs w:val="24"/>
              </w:rPr>
            </w:pP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ESD proposes amending the language to correctly refer to the </w:t>
            </w:r>
            <w:r w:rsidR="008613E7">
              <w:rPr>
                <w:rFonts w:ascii="Garamond" w:eastAsiaTheme="minorHAnsi" w:hAnsi="Garamond"/>
                <w:color w:val="000000"/>
                <w:szCs w:val="24"/>
              </w:rPr>
              <w:t>PFML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 Act. </w:t>
            </w:r>
          </w:p>
          <w:tbl>
            <w:tblPr>
              <w:tblW w:w="10044" w:type="dxa"/>
              <w:tblLook w:val="01E0" w:firstRow="1" w:lastRow="1" w:firstColumn="1" w:lastColumn="1" w:noHBand="0" w:noVBand="0"/>
            </w:tblPr>
            <w:tblGrid>
              <w:gridCol w:w="10044"/>
            </w:tblGrid>
            <w:tr w:rsidR="00A034D4" w:rsidRPr="00E10CD3" w14:paraId="6D5E7666" w14:textId="77777777" w:rsidTr="00FF1815">
              <w:tc>
                <w:tcPr>
                  <w:tcW w:w="10044" w:type="dxa"/>
                  <w:shd w:val="clear" w:color="auto" w:fill="CCCCCC"/>
                  <w:tcMar>
                    <w:top w:w="43" w:type="dxa"/>
                    <w:left w:w="0" w:type="dxa"/>
                    <w:bottom w:w="43" w:type="dxa"/>
                    <w:right w:w="0" w:type="dxa"/>
                  </w:tcMar>
                </w:tcPr>
                <w:p w14:paraId="7209646C" w14:textId="77777777" w:rsidR="00A034D4" w:rsidRPr="00B3138F" w:rsidRDefault="00A034D4" w:rsidP="003C6FE3">
                  <w:pPr>
                    <w:rPr>
                      <w:rFonts w:ascii="Garamond" w:hAnsi="Garamond"/>
                      <w:b/>
                      <w:i/>
                      <w:color w:val="003366"/>
                      <w:szCs w:val="24"/>
                    </w:rPr>
                  </w:pPr>
                  <w:r w:rsidRPr="00E10CD3">
                    <w:rPr>
                      <w:rFonts w:ascii="Arial" w:hAnsi="Arial" w:cs="Arial"/>
                      <w:b/>
                      <w:color w:val="003366"/>
                      <w:szCs w:val="24"/>
                    </w:rPr>
                    <w:t>Recodification</w:t>
                  </w:r>
                </w:p>
              </w:tc>
            </w:tr>
          </w:tbl>
          <w:p w14:paraId="5BF107F0" w14:textId="77777777" w:rsidR="005C12EA" w:rsidRDefault="005C12EA" w:rsidP="00FA104E">
            <w:pPr>
              <w:spacing w:after="120"/>
              <w:rPr>
                <w:rFonts w:ascii="Garamond" w:eastAsiaTheme="minorHAnsi" w:hAnsi="Garamond"/>
                <w:color w:val="000000"/>
                <w:szCs w:val="24"/>
              </w:rPr>
            </w:pPr>
            <w:r>
              <w:rPr>
                <w:rFonts w:ascii="Garamond" w:eastAsiaTheme="minorHAnsi" w:hAnsi="Garamond"/>
                <w:color w:val="000000"/>
                <w:szCs w:val="24"/>
              </w:rPr>
              <w:t>T</w:t>
            </w:r>
            <w:r w:rsidR="00F64E46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he </w:t>
            </w:r>
            <w:r w:rsidR="000A2B9C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PFML </w:t>
            </w:r>
            <w:r w:rsidR="001D6A6A">
              <w:rPr>
                <w:rFonts w:ascii="Garamond" w:eastAsiaTheme="minorHAnsi" w:hAnsi="Garamond"/>
                <w:color w:val="000000"/>
                <w:szCs w:val="24"/>
              </w:rPr>
              <w:t>Act</w:t>
            </w:r>
            <w:r w:rsidR="009F2D9B">
              <w:rPr>
                <w:rFonts w:ascii="Garamond" w:eastAsiaTheme="minorHAnsi" w:hAnsi="Garamond"/>
                <w:color w:val="000000"/>
                <w:szCs w:val="24"/>
              </w:rPr>
              <w:t xml:space="preserve"> is codified into a sin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gle </w:t>
            </w:r>
            <w:r w:rsidR="000A2B9C" w:rsidRPr="003C6FE3">
              <w:rPr>
                <w:rFonts w:ascii="Garamond" w:eastAsiaTheme="minorHAnsi" w:hAnsi="Garamond"/>
                <w:color w:val="000000"/>
                <w:szCs w:val="24"/>
              </w:rPr>
              <w:t xml:space="preserve">chapter 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within Title 50A RCW. </w:t>
            </w:r>
            <w:proofErr w:type="spellStart"/>
            <w:r>
              <w:rPr>
                <w:rFonts w:ascii="Garamond" w:eastAsiaTheme="minorHAnsi" w:hAnsi="Garamond"/>
                <w:color w:val="000000"/>
                <w:szCs w:val="24"/>
              </w:rPr>
              <w:t>R</w:t>
            </w:r>
            <w:r w:rsidRPr="008F743C">
              <w:rPr>
                <w:rFonts w:ascii="Garamond" w:eastAsiaTheme="minorHAnsi" w:hAnsi="Garamond"/>
                <w:color w:val="000000"/>
                <w:szCs w:val="24"/>
              </w:rPr>
              <w:t>ecodifying</w:t>
            </w:r>
            <w:proofErr w:type="spellEnd"/>
            <w:r w:rsidRPr="008F743C">
              <w:rPr>
                <w:rFonts w:ascii="Garamond" w:eastAsiaTheme="minorHAnsi" w:hAnsi="Garamond"/>
                <w:color w:val="000000"/>
                <w:szCs w:val="24"/>
              </w:rPr>
              <w:t xml:space="preserve"> the law into multiple chapters would make it easier to read and navigate.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 xml:space="preserve"> </w:t>
            </w:r>
            <w:r w:rsidR="000A2B9C" w:rsidRPr="003C6FE3">
              <w:rPr>
                <w:rFonts w:ascii="Garamond" w:eastAsiaTheme="minorHAnsi" w:hAnsi="Garamond"/>
                <w:color w:val="000000"/>
                <w:szCs w:val="24"/>
              </w:rPr>
              <w:t>For example</w:t>
            </w:r>
            <w:r>
              <w:rPr>
                <w:rFonts w:ascii="Garamond" w:eastAsiaTheme="minorHAnsi" w:hAnsi="Garamond"/>
                <w:color w:val="000000"/>
                <w:szCs w:val="24"/>
              </w:rPr>
              <w:t>:</w:t>
            </w:r>
          </w:p>
          <w:p w14:paraId="48CA56C8" w14:textId="77777777" w:rsidR="005C12EA" w:rsidRPr="00726F0B" w:rsidRDefault="005C12EA" w:rsidP="00726F0B">
            <w:pPr>
              <w:pStyle w:val="ListParagraph"/>
              <w:numPr>
                <w:ilvl w:val="0"/>
                <w:numId w:val="23"/>
              </w:numPr>
              <w:spacing w:before="100" w:after="120"/>
              <w:rPr>
                <w:rFonts w:ascii="Garamond" w:eastAsiaTheme="minorHAnsi" w:hAnsi="Garamond"/>
                <w:color w:val="000000"/>
              </w:rPr>
            </w:pPr>
            <w:r w:rsidRPr="00726F0B">
              <w:rPr>
                <w:rFonts w:ascii="Garamond" w:eastAsiaTheme="minorHAnsi" w:hAnsi="Garamond"/>
                <w:color w:val="000000"/>
              </w:rPr>
              <w:t>All sections of the law that relate to appeals would be recodified under a chapter dedicated to appeals;</w:t>
            </w:r>
          </w:p>
          <w:p w14:paraId="15701345" w14:textId="77777777" w:rsidR="005C12EA" w:rsidRPr="00726F0B" w:rsidRDefault="005C12EA" w:rsidP="00726F0B">
            <w:pPr>
              <w:pStyle w:val="ListParagraph"/>
              <w:numPr>
                <w:ilvl w:val="0"/>
                <w:numId w:val="23"/>
              </w:numPr>
              <w:spacing w:before="100" w:after="120"/>
              <w:rPr>
                <w:rFonts w:ascii="Garamond" w:eastAsiaTheme="minorHAnsi" w:hAnsi="Garamond"/>
                <w:color w:val="000000"/>
              </w:rPr>
            </w:pPr>
            <w:r w:rsidRPr="00726F0B">
              <w:rPr>
                <w:rFonts w:ascii="Garamond" w:eastAsiaTheme="minorHAnsi" w:hAnsi="Garamond"/>
                <w:color w:val="000000"/>
              </w:rPr>
              <w:t>All definitions would be placed into their own chapter; and</w:t>
            </w:r>
          </w:p>
          <w:p w14:paraId="07A00507" w14:textId="77777777" w:rsidR="001D5056" w:rsidRPr="00726F0B" w:rsidRDefault="005C12EA" w:rsidP="00FA104E">
            <w:pPr>
              <w:pStyle w:val="ListParagraph"/>
              <w:numPr>
                <w:ilvl w:val="0"/>
                <w:numId w:val="23"/>
              </w:numPr>
              <w:spacing w:before="100"/>
              <w:rPr>
                <w:rFonts w:eastAsiaTheme="minorHAnsi"/>
              </w:rPr>
            </w:pPr>
            <w:r w:rsidRPr="00726F0B">
              <w:rPr>
                <w:rFonts w:ascii="Garamond" w:eastAsiaTheme="minorHAnsi" w:hAnsi="Garamond"/>
                <w:color w:val="000000"/>
              </w:rPr>
              <w:t xml:space="preserve">All sections of law related to discrimination, complaints, and the payment of damages therefrom would be placed into a single and exclusive chapter. </w:t>
            </w:r>
          </w:p>
        </w:tc>
      </w:tr>
      <w:tr w:rsidR="00CA30A7" w:rsidRPr="00E10CD3" w14:paraId="64140008" w14:textId="77777777" w:rsidTr="00FF3479">
        <w:trPr>
          <w:trHeight w:val="306"/>
        </w:trPr>
        <w:tc>
          <w:tcPr>
            <w:tcW w:w="1022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4F55D95" w14:textId="77777777" w:rsidR="00CA30A7" w:rsidRPr="00DF6C99" w:rsidRDefault="00CA30A7" w:rsidP="003C6FE3">
            <w:pPr>
              <w:rPr>
                <w:rFonts w:ascii="Garamond" w:hAnsi="Garamond"/>
                <w:b/>
                <w:i/>
                <w:color w:val="003366"/>
                <w:szCs w:val="24"/>
              </w:rPr>
            </w:pPr>
            <w:r w:rsidRPr="00DF6C99">
              <w:rPr>
                <w:rFonts w:ascii="Arial" w:hAnsi="Arial" w:cs="Arial"/>
                <w:b/>
                <w:color w:val="003366"/>
                <w:szCs w:val="24"/>
              </w:rPr>
              <w:lastRenderedPageBreak/>
              <w:t>Contact</w:t>
            </w:r>
          </w:p>
        </w:tc>
      </w:tr>
      <w:tr w:rsidR="00BB3613" w:rsidRPr="00E10CD3" w14:paraId="61269A5C" w14:textId="77777777" w:rsidTr="00FF3479">
        <w:trPr>
          <w:trHeight w:val="306"/>
        </w:trPr>
        <w:tc>
          <w:tcPr>
            <w:tcW w:w="10224" w:type="dxa"/>
            <w:shd w:val="clear" w:color="auto" w:fill="auto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E522A1D" w14:textId="77777777" w:rsidR="00835620" w:rsidRPr="003C6FE3" w:rsidRDefault="00326CD0" w:rsidP="0000611B">
            <w:pPr>
              <w:rPr>
                <w:rFonts w:ascii="Arial" w:hAnsi="Arial" w:cs="Arial"/>
                <w:b/>
                <w:color w:val="003366"/>
                <w:szCs w:val="24"/>
              </w:rPr>
            </w:pPr>
            <w:r w:rsidRPr="008F743C">
              <w:rPr>
                <w:rFonts w:ascii="Garamond" w:hAnsi="Garamond"/>
                <w:szCs w:val="24"/>
              </w:rPr>
              <w:t>Nick Streuli, Legislative and Executive Operations Director, 360-485-5175</w:t>
            </w:r>
          </w:p>
        </w:tc>
      </w:tr>
    </w:tbl>
    <w:p w14:paraId="20FCB721" w14:textId="77777777" w:rsidR="00B637CB" w:rsidRPr="008F743C" w:rsidRDefault="00B637CB" w:rsidP="009E6CDC">
      <w:pPr>
        <w:spacing w:before="80"/>
        <w:rPr>
          <w:rFonts w:ascii="Garamond" w:hAnsi="Garamond"/>
          <w:szCs w:val="24"/>
        </w:rPr>
      </w:pPr>
    </w:p>
    <w:sectPr w:rsidR="00B637CB" w:rsidRPr="008F743C" w:rsidSect="003056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DF1D4" w14:textId="77777777" w:rsidR="009C4B04" w:rsidRDefault="009C4B04">
      <w:r>
        <w:separator/>
      </w:r>
    </w:p>
  </w:endnote>
  <w:endnote w:type="continuationSeparator" w:id="0">
    <w:p w14:paraId="6207B15D" w14:textId="77777777" w:rsidR="009C4B04" w:rsidRDefault="009C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9DDB0" w14:textId="77777777" w:rsidR="00BE7128" w:rsidRDefault="00BE7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C1E2B" w14:textId="77777777" w:rsidR="00BE7128" w:rsidRDefault="00BE7128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  <w:r>
      <w:rPr>
        <w:rFonts w:ascii="Arial" w:hAnsi="Arial" w:cs="Arial"/>
        <w:b/>
        <w:i/>
        <w:color w:val="003366"/>
        <w:sz w:val="22"/>
      </w:rPr>
      <w:t xml:space="preserve">Employment Security Department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67BB" w14:textId="77777777" w:rsidR="00BE7128" w:rsidRDefault="00BE7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51C0" w14:textId="77777777" w:rsidR="009C4B04" w:rsidRDefault="009C4B04">
      <w:r>
        <w:separator/>
      </w:r>
    </w:p>
  </w:footnote>
  <w:footnote w:type="continuationSeparator" w:id="0">
    <w:p w14:paraId="2CB2BBF6" w14:textId="77777777" w:rsidR="009C4B04" w:rsidRDefault="009C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8BF82" w14:textId="77777777" w:rsidR="00BE7128" w:rsidRDefault="00BE7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1F07" w14:textId="77777777" w:rsidR="00BE7128" w:rsidRPr="003F3913" w:rsidRDefault="00BE7128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 w:rsidRPr="003F3913">
      <w:rPr>
        <w:rFonts w:ascii="Arial" w:hAnsi="Arial"/>
        <w:b/>
        <w:color w:val="003366"/>
        <w:sz w:val="28"/>
      </w:rPr>
      <w:t>BRIEFING PAPER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1EDE" w14:textId="77777777" w:rsidR="00BE7128" w:rsidRDefault="00BE7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9332D"/>
    <w:multiLevelType w:val="hybridMultilevel"/>
    <w:tmpl w:val="2096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6CF6"/>
    <w:multiLevelType w:val="hybridMultilevel"/>
    <w:tmpl w:val="8762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A75"/>
    <w:multiLevelType w:val="hybridMultilevel"/>
    <w:tmpl w:val="2096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3E30"/>
    <w:multiLevelType w:val="hybridMultilevel"/>
    <w:tmpl w:val="EAB4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872D6"/>
    <w:multiLevelType w:val="hybridMultilevel"/>
    <w:tmpl w:val="7890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97AAF"/>
    <w:multiLevelType w:val="hybridMultilevel"/>
    <w:tmpl w:val="C81C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214FA"/>
    <w:multiLevelType w:val="hybridMultilevel"/>
    <w:tmpl w:val="F252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5"/>
  </w:num>
  <w:num w:numId="5">
    <w:abstractNumId w:val="14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6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5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611B"/>
    <w:rsid w:val="00014417"/>
    <w:rsid w:val="00022D88"/>
    <w:rsid w:val="00023B69"/>
    <w:rsid w:val="000273B5"/>
    <w:rsid w:val="00034467"/>
    <w:rsid w:val="00044060"/>
    <w:rsid w:val="00054E29"/>
    <w:rsid w:val="00056641"/>
    <w:rsid w:val="00057E8A"/>
    <w:rsid w:val="00057FEE"/>
    <w:rsid w:val="000612D8"/>
    <w:rsid w:val="000708DC"/>
    <w:rsid w:val="00073FCE"/>
    <w:rsid w:val="00077883"/>
    <w:rsid w:val="000824DA"/>
    <w:rsid w:val="00085C6F"/>
    <w:rsid w:val="00091CA8"/>
    <w:rsid w:val="000A2B9C"/>
    <w:rsid w:val="000A5659"/>
    <w:rsid w:val="000A6A17"/>
    <w:rsid w:val="000A6A45"/>
    <w:rsid w:val="000B4D66"/>
    <w:rsid w:val="000C04A0"/>
    <w:rsid w:val="000C14D6"/>
    <w:rsid w:val="000C3F89"/>
    <w:rsid w:val="000C5457"/>
    <w:rsid w:val="000D1D84"/>
    <w:rsid w:val="000D2F96"/>
    <w:rsid w:val="000D410C"/>
    <w:rsid w:val="000D5513"/>
    <w:rsid w:val="000E3570"/>
    <w:rsid w:val="000E3AE0"/>
    <w:rsid w:val="000F0D7A"/>
    <w:rsid w:val="000F4DB8"/>
    <w:rsid w:val="000F4EC3"/>
    <w:rsid w:val="000F551F"/>
    <w:rsid w:val="00103B42"/>
    <w:rsid w:val="00104940"/>
    <w:rsid w:val="00111CFC"/>
    <w:rsid w:val="0012377B"/>
    <w:rsid w:val="00127147"/>
    <w:rsid w:val="00127FEA"/>
    <w:rsid w:val="00131CA8"/>
    <w:rsid w:val="0013799E"/>
    <w:rsid w:val="00143937"/>
    <w:rsid w:val="00162C0A"/>
    <w:rsid w:val="00164D78"/>
    <w:rsid w:val="00174E4E"/>
    <w:rsid w:val="00193092"/>
    <w:rsid w:val="0019327E"/>
    <w:rsid w:val="001945DC"/>
    <w:rsid w:val="001A02F5"/>
    <w:rsid w:val="001A12A8"/>
    <w:rsid w:val="001A19CD"/>
    <w:rsid w:val="001A45A5"/>
    <w:rsid w:val="001B282A"/>
    <w:rsid w:val="001C07B3"/>
    <w:rsid w:val="001C42D8"/>
    <w:rsid w:val="001D008B"/>
    <w:rsid w:val="001D194C"/>
    <w:rsid w:val="001D5056"/>
    <w:rsid w:val="001D6A6A"/>
    <w:rsid w:val="001E24B1"/>
    <w:rsid w:val="001E7ED1"/>
    <w:rsid w:val="001F3781"/>
    <w:rsid w:val="001F4A5F"/>
    <w:rsid w:val="002000A8"/>
    <w:rsid w:val="00203D1F"/>
    <w:rsid w:val="00212AD5"/>
    <w:rsid w:val="0021301F"/>
    <w:rsid w:val="00215D97"/>
    <w:rsid w:val="0022346C"/>
    <w:rsid w:val="00231600"/>
    <w:rsid w:val="00232B74"/>
    <w:rsid w:val="00237984"/>
    <w:rsid w:val="00244A0F"/>
    <w:rsid w:val="002458BD"/>
    <w:rsid w:val="002526FC"/>
    <w:rsid w:val="00254AB5"/>
    <w:rsid w:val="002551F2"/>
    <w:rsid w:val="0025560B"/>
    <w:rsid w:val="00260FD7"/>
    <w:rsid w:val="00263CDE"/>
    <w:rsid w:val="002679BF"/>
    <w:rsid w:val="00271E65"/>
    <w:rsid w:val="00273EB4"/>
    <w:rsid w:val="00283620"/>
    <w:rsid w:val="002A026A"/>
    <w:rsid w:val="002A2C9C"/>
    <w:rsid w:val="002A6BAF"/>
    <w:rsid w:val="002A6E97"/>
    <w:rsid w:val="002B0812"/>
    <w:rsid w:val="002C4AE3"/>
    <w:rsid w:val="002D35A0"/>
    <w:rsid w:val="002D7110"/>
    <w:rsid w:val="002E4989"/>
    <w:rsid w:val="002F48C0"/>
    <w:rsid w:val="0030117D"/>
    <w:rsid w:val="00302CF4"/>
    <w:rsid w:val="00304E72"/>
    <w:rsid w:val="00305634"/>
    <w:rsid w:val="00307891"/>
    <w:rsid w:val="00322ADC"/>
    <w:rsid w:val="00324DE8"/>
    <w:rsid w:val="00326757"/>
    <w:rsid w:val="00326CD0"/>
    <w:rsid w:val="00336D89"/>
    <w:rsid w:val="00356224"/>
    <w:rsid w:val="00362124"/>
    <w:rsid w:val="0036240E"/>
    <w:rsid w:val="003625A1"/>
    <w:rsid w:val="003626CF"/>
    <w:rsid w:val="00363DEC"/>
    <w:rsid w:val="00366B0C"/>
    <w:rsid w:val="00370BC2"/>
    <w:rsid w:val="0039517F"/>
    <w:rsid w:val="003A6350"/>
    <w:rsid w:val="003A7CA2"/>
    <w:rsid w:val="003A7E2F"/>
    <w:rsid w:val="003B2D9F"/>
    <w:rsid w:val="003B547B"/>
    <w:rsid w:val="003C1019"/>
    <w:rsid w:val="003C2370"/>
    <w:rsid w:val="003C2C83"/>
    <w:rsid w:val="003C4ED6"/>
    <w:rsid w:val="003C6FE3"/>
    <w:rsid w:val="003D23DD"/>
    <w:rsid w:val="003D623B"/>
    <w:rsid w:val="003E1628"/>
    <w:rsid w:val="003E30C3"/>
    <w:rsid w:val="003E4314"/>
    <w:rsid w:val="003E549B"/>
    <w:rsid w:val="003E5BC1"/>
    <w:rsid w:val="003F20AB"/>
    <w:rsid w:val="003F351B"/>
    <w:rsid w:val="003F3913"/>
    <w:rsid w:val="004067A5"/>
    <w:rsid w:val="004072D3"/>
    <w:rsid w:val="0041043C"/>
    <w:rsid w:val="004114A0"/>
    <w:rsid w:val="00415AEB"/>
    <w:rsid w:val="0043219E"/>
    <w:rsid w:val="004327AC"/>
    <w:rsid w:val="004440BA"/>
    <w:rsid w:val="00446987"/>
    <w:rsid w:val="00455D7D"/>
    <w:rsid w:val="00460017"/>
    <w:rsid w:val="00461262"/>
    <w:rsid w:val="004627B8"/>
    <w:rsid w:val="00465473"/>
    <w:rsid w:val="004659E7"/>
    <w:rsid w:val="00470A5F"/>
    <w:rsid w:val="00474619"/>
    <w:rsid w:val="0047630A"/>
    <w:rsid w:val="00477156"/>
    <w:rsid w:val="004831FF"/>
    <w:rsid w:val="00486C49"/>
    <w:rsid w:val="00487D34"/>
    <w:rsid w:val="0049275A"/>
    <w:rsid w:val="00496D55"/>
    <w:rsid w:val="004B6438"/>
    <w:rsid w:val="004B72F1"/>
    <w:rsid w:val="004C0510"/>
    <w:rsid w:val="004C174C"/>
    <w:rsid w:val="004D0664"/>
    <w:rsid w:val="004D0D43"/>
    <w:rsid w:val="004D3D94"/>
    <w:rsid w:val="004D5454"/>
    <w:rsid w:val="004D7FAB"/>
    <w:rsid w:val="004E41D9"/>
    <w:rsid w:val="004E63CB"/>
    <w:rsid w:val="004F25CF"/>
    <w:rsid w:val="004F5EE3"/>
    <w:rsid w:val="004F7535"/>
    <w:rsid w:val="005200FB"/>
    <w:rsid w:val="005263C1"/>
    <w:rsid w:val="00527AED"/>
    <w:rsid w:val="00532F3B"/>
    <w:rsid w:val="00537D07"/>
    <w:rsid w:val="005446B5"/>
    <w:rsid w:val="00546F74"/>
    <w:rsid w:val="0055077C"/>
    <w:rsid w:val="00552FBE"/>
    <w:rsid w:val="00557271"/>
    <w:rsid w:val="005579A0"/>
    <w:rsid w:val="005621D3"/>
    <w:rsid w:val="00576A4D"/>
    <w:rsid w:val="00576C4E"/>
    <w:rsid w:val="00581F94"/>
    <w:rsid w:val="005863E5"/>
    <w:rsid w:val="00594C16"/>
    <w:rsid w:val="00596075"/>
    <w:rsid w:val="005A1ACA"/>
    <w:rsid w:val="005B4AD6"/>
    <w:rsid w:val="005B6340"/>
    <w:rsid w:val="005C12EA"/>
    <w:rsid w:val="005C13CA"/>
    <w:rsid w:val="005C3E0B"/>
    <w:rsid w:val="005C614E"/>
    <w:rsid w:val="005D0DE9"/>
    <w:rsid w:val="005D1023"/>
    <w:rsid w:val="005D5CB8"/>
    <w:rsid w:val="005E45B9"/>
    <w:rsid w:val="005E4C78"/>
    <w:rsid w:val="005E546F"/>
    <w:rsid w:val="005F47F3"/>
    <w:rsid w:val="005F564B"/>
    <w:rsid w:val="005F564C"/>
    <w:rsid w:val="0060110E"/>
    <w:rsid w:val="006064C2"/>
    <w:rsid w:val="00607486"/>
    <w:rsid w:val="00636DA7"/>
    <w:rsid w:val="00637BE1"/>
    <w:rsid w:val="006673FB"/>
    <w:rsid w:val="0067083C"/>
    <w:rsid w:val="006710FB"/>
    <w:rsid w:val="00673587"/>
    <w:rsid w:val="00673E45"/>
    <w:rsid w:val="00673FDE"/>
    <w:rsid w:val="00680E5B"/>
    <w:rsid w:val="00681C3F"/>
    <w:rsid w:val="00683068"/>
    <w:rsid w:val="00687EFE"/>
    <w:rsid w:val="00692D0A"/>
    <w:rsid w:val="00694BFE"/>
    <w:rsid w:val="006972BA"/>
    <w:rsid w:val="006A42F3"/>
    <w:rsid w:val="006C1101"/>
    <w:rsid w:val="006C42B8"/>
    <w:rsid w:val="006C4654"/>
    <w:rsid w:val="006C71FB"/>
    <w:rsid w:val="006D2425"/>
    <w:rsid w:val="006D5150"/>
    <w:rsid w:val="006D5572"/>
    <w:rsid w:val="006D5E8D"/>
    <w:rsid w:val="006E1624"/>
    <w:rsid w:val="006E4CF1"/>
    <w:rsid w:val="006F02D2"/>
    <w:rsid w:val="006F0947"/>
    <w:rsid w:val="006F306B"/>
    <w:rsid w:val="006F32BF"/>
    <w:rsid w:val="006F4CAB"/>
    <w:rsid w:val="006F690F"/>
    <w:rsid w:val="006F72C6"/>
    <w:rsid w:val="0070152A"/>
    <w:rsid w:val="007019C0"/>
    <w:rsid w:val="00701E79"/>
    <w:rsid w:val="00702D5D"/>
    <w:rsid w:val="00703758"/>
    <w:rsid w:val="00707E43"/>
    <w:rsid w:val="0071020E"/>
    <w:rsid w:val="00726F0B"/>
    <w:rsid w:val="00734174"/>
    <w:rsid w:val="00742176"/>
    <w:rsid w:val="007431DB"/>
    <w:rsid w:val="00750FC1"/>
    <w:rsid w:val="007529B2"/>
    <w:rsid w:val="00752FD5"/>
    <w:rsid w:val="00780569"/>
    <w:rsid w:val="007816A4"/>
    <w:rsid w:val="00782012"/>
    <w:rsid w:val="007835AA"/>
    <w:rsid w:val="007A0FE0"/>
    <w:rsid w:val="007A5CCC"/>
    <w:rsid w:val="007B5EB2"/>
    <w:rsid w:val="007C0F83"/>
    <w:rsid w:val="007D0AF0"/>
    <w:rsid w:val="007D0B5A"/>
    <w:rsid w:val="007D27E7"/>
    <w:rsid w:val="007D3E4A"/>
    <w:rsid w:val="007D79D0"/>
    <w:rsid w:val="007E0075"/>
    <w:rsid w:val="007E3D5C"/>
    <w:rsid w:val="007E3FDA"/>
    <w:rsid w:val="007F5EC9"/>
    <w:rsid w:val="00801A37"/>
    <w:rsid w:val="00804776"/>
    <w:rsid w:val="00805BD6"/>
    <w:rsid w:val="0081681C"/>
    <w:rsid w:val="00816C86"/>
    <w:rsid w:val="00820495"/>
    <w:rsid w:val="00820F55"/>
    <w:rsid w:val="00825661"/>
    <w:rsid w:val="00835620"/>
    <w:rsid w:val="00842D37"/>
    <w:rsid w:val="0084373D"/>
    <w:rsid w:val="0084526A"/>
    <w:rsid w:val="008577CA"/>
    <w:rsid w:val="008613E7"/>
    <w:rsid w:val="00873685"/>
    <w:rsid w:val="008747A2"/>
    <w:rsid w:val="0087495F"/>
    <w:rsid w:val="00875F3E"/>
    <w:rsid w:val="00876130"/>
    <w:rsid w:val="008762E4"/>
    <w:rsid w:val="00876AD8"/>
    <w:rsid w:val="00880010"/>
    <w:rsid w:val="00880874"/>
    <w:rsid w:val="00893F51"/>
    <w:rsid w:val="008A2AFE"/>
    <w:rsid w:val="008A58C0"/>
    <w:rsid w:val="008A65A0"/>
    <w:rsid w:val="008A7FC0"/>
    <w:rsid w:val="008C1308"/>
    <w:rsid w:val="008C629C"/>
    <w:rsid w:val="008C748F"/>
    <w:rsid w:val="008C7CFB"/>
    <w:rsid w:val="008D34A7"/>
    <w:rsid w:val="008D7B09"/>
    <w:rsid w:val="008F1756"/>
    <w:rsid w:val="008F2EAB"/>
    <w:rsid w:val="008F3B97"/>
    <w:rsid w:val="008F743C"/>
    <w:rsid w:val="009004EB"/>
    <w:rsid w:val="00900641"/>
    <w:rsid w:val="00900748"/>
    <w:rsid w:val="009070BF"/>
    <w:rsid w:val="009102B7"/>
    <w:rsid w:val="00912424"/>
    <w:rsid w:val="00926826"/>
    <w:rsid w:val="0093364C"/>
    <w:rsid w:val="009343BE"/>
    <w:rsid w:val="00934727"/>
    <w:rsid w:val="00946446"/>
    <w:rsid w:val="00950F71"/>
    <w:rsid w:val="00952796"/>
    <w:rsid w:val="00954D67"/>
    <w:rsid w:val="00954FFC"/>
    <w:rsid w:val="00963099"/>
    <w:rsid w:val="0097101E"/>
    <w:rsid w:val="00972EED"/>
    <w:rsid w:val="00974D7A"/>
    <w:rsid w:val="00984ED5"/>
    <w:rsid w:val="009A0ECF"/>
    <w:rsid w:val="009A5127"/>
    <w:rsid w:val="009B508A"/>
    <w:rsid w:val="009C4B04"/>
    <w:rsid w:val="009C6A19"/>
    <w:rsid w:val="009D0841"/>
    <w:rsid w:val="009D6BDC"/>
    <w:rsid w:val="009E1BC2"/>
    <w:rsid w:val="009E3305"/>
    <w:rsid w:val="009E4780"/>
    <w:rsid w:val="009E52E4"/>
    <w:rsid w:val="009E5FEB"/>
    <w:rsid w:val="009E6CDC"/>
    <w:rsid w:val="009E7C04"/>
    <w:rsid w:val="009F2D9B"/>
    <w:rsid w:val="009F4FDD"/>
    <w:rsid w:val="00A034D4"/>
    <w:rsid w:val="00A04ED8"/>
    <w:rsid w:val="00A06FF4"/>
    <w:rsid w:val="00A11553"/>
    <w:rsid w:val="00A1506A"/>
    <w:rsid w:val="00A157B8"/>
    <w:rsid w:val="00A21684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75C50"/>
    <w:rsid w:val="00A86D3D"/>
    <w:rsid w:val="00A941BC"/>
    <w:rsid w:val="00AA1AAC"/>
    <w:rsid w:val="00AA3342"/>
    <w:rsid w:val="00AB0F72"/>
    <w:rsid w:val="00AB2768"/>
    <w:rsid w:val="00AC3BD1"/>
    <w:rsid w:val="00AC7E61"/>
    <w:rsid w:val="00AD7D08"/>
    <w:rsid w:val="00AE3910"/>
    <w:rsid w:val="00AE3B76"/>
    <w:rsid w:val="00AE4743"/>
    <w:rsid w:val="00AE70FD"/>
    <w:rsid w:val="00AE74F7"/>
    <w:rsid w:val="00AF0378"/>
    <w:rsid w:val="00AF084D"/>
    <w:rsid w:val="00AF11A0"/>
    <w:rsid w:val="00AF668E"/>
    <w:rsid w:val="00AF6A10"/>
    <w:rsid w:val="00B01326"/>
    <w:rsid w:val="00B03D53"/>
    <w:rsid w:val="00B220DB"/>
    <w:rsid w:val="00B239E0"/>
    <w:rsid w:val="00B3138F"/>
    <w:rsid w:val="00B3434A"/>
    <w:rsid w:val="00B45518"/>
    <w:rsid w:val="00B47D44"/>
    <w:rsid w:val="00B5393F"/>
    <w:rsid w:val="00B5464A"/>
    <w:rsid w:val="00B566E8"/>
    <w:rsid w:val="00B61805"/>
    <w:rsid w:val="00B637CB"/>
    <w:rsid w:val="00B66773"/>
    <w:rsid w:val="00B675A7"/>
    <w:rsid w:val="00B768FE"/>
    <w:rsid w:val="00B76E27"/>
    <w:rsid w:val="00B775D1"/>
    <w:rsid w:val="00B87ED4"/>
    <w:rsid w:val="00B905D1"/>
    <w:rsid w:val="00BB3613"/>
    <w:rsid w:val="00BB7763"/>
    <w:rsid w:val="00BC29AD"/>
    <w:rsid w:val="00BC4F61"/>
    <w:rsid w:val="00BC7933"/>
    <w:rsid w:val="00BD56CB"/>
    <w:rsid w:val="00BD700B"/>
    <w:rsid w:val="00BE3C79"/>
    <w:rsid w:val="00BE4D64"/>
    <w:rsid w:val="00BE7128"/>
    <w:rsid w:val="00BF45CA"/>
    <w:rsid w:val="00C00AC7"/>
    <w:rsid w:val="00C02D57"/>
    <w:rsid w:val="00C07CA0"/>
    <w:rsid w:val="00C12E72"/>
    <w:rsid w:val="00C22D2C"/>
    <w:rsid w:val="00C3193E"/>
    <w:rsid w:val="00C33920"/>
    <w:rsid w:val="00C33C16"/>
    <w:rsid w:val="00C34FAD"/>
    <w:rsid w:val="00C363C3"/>
    <w:rsid w:val="00C37768"/>
    <w:rsid w:val="00C4663A"/>
    <w:rsid w:val="00C56AE9"/>
    <w:rsid w:val="00C606E1"/>
    <w:rsid w:val="00C62A9F"/>
    <w:rsid w:val="00C7612C"/>
    <w:rsid w:val="00C80463"/>
    <w:rsid w:val="00C80B4C"/>
    <w:rsid w:val="00C854EC"/>
    <w:rsid w:val="00C8743D"/>
    <w:rsid w:val="00C90942"/>
    <w:rsid w:val="00C91465"/>
    <w:rsid w:val="00C9273F"/>
    <w:rsid w:val="00C96878"/>
    <w:rsid w:val="00CA1DBB"/>
    <w:rsid w:val="00CA2034"/>
    <w:rsid w:val="00CA30A7"/>
    <w:rsid w:val="00CC0AB5"/>
    <w:rsid w:val="00CC7ADF"/>
    <w:rsid w:val="00CD1B3D"/>
    <w:rsid w:val="00CE1A79"/>
    <w:rsid w:val="00CE41AF"/>
    <w:rsid w:val="00CE66F5"/>
    <w:rsid w:val="00CF0BED"/>
    <w:rsid w:val="00D028E7"/>
    <w:rsid w:val="00D1051A"/>
    <w:rsid w:val="00D11C41"/>
    <w:rsid w:val="00D12C38"/>
    <w:rsid w:val="00D15124"/>
    <w:rsid w:val="00D15240"/>
    <w:rsid w:val="00D17A20"/>
    <w:rsid w:val="00D17C2D"/>
    <w:rsid w:val="00D208C7"/>
    <w:rsid w:val="00D21074"/>
    <w:rsid w:val="00D216A8"/>
    <w:rsid w:val="00D24FEC"/>
    <w:rsid w:val="00D25328"/>
    <w:rsid w:val="00D25DB1"/>
    <w:rsid w:val="00D31DF7"/>
    <w:rsid w:val="00D322D4"/>
    <w:rsid w:val="00D37DA7"/>
    <w:rsid w:val="00D401CA"/>
    <w:rsid w:val="00D445C7"/>
    <w:rsid w:val="00D47FFE"/>
    <w:rsid w:val="00D60CD2"/>
    <w:rsid w:val="00D60D80"/>
    <w:rsid w:val="00D61E05"/>
    <w:rsid w:val="00D70AE3"/>
    <w:rsid w:val="00D7155A"/>
    <w:rsid w:val="00D725C3"/>
    <w:rsid w:val="00D72E4F"/>
    <w:rsid w:val="00D828EE"/>
    <w:rsid w:val="00D8338A"/>
    <w:rsid w:val="00D912BE"/>
    <w:rsid w:val="00D959A5"/>
    <w:rsid w:val="00D9759F"/>
    <w:rsid w:val="00DA479B"/>
    <w:rsid w:val="00DC7483"/>
    <w:rsid w:val="00DD5BAE"/>
    <w:rsid w:val="00DD5C4A"/>
    <w:rsid w:val="00DD7761"/>
    <w:rsid w:val="00DE023E"/>
    <w:rsid w:val="00DE1229"/>
    <w:rsid w:val="00DE1766"/>
    <w:rsid w:val="00DE78E8"/>
    <w:rsid w:val="00DF126C"/>
    <w:rsid w:val="00DF31A4"/>
    <w:rsid w:val="00DF4F3A"/>
    <w:rsid w:val="00DF6C99"/>
    <w:rsid w:val="00E10CD3"/>
    <w:rsid w:val="00E12334"/>
    <w:rsid w:val="00E156EC"/>
    <w:rsid w:val="00E21C63"/>
    <w:rsid w:val="00E23867"/>
    <w:rsid w:val="00E35F8F"/>
    <w:rsid w:val="00E36A37"/>
    <w:rsid w:val="00E4209C"/>
    <w:rsid w:val="00E4726C"/>
    <w:rsid w:val="00E541A6"/>
    <w:rsid w:val="00E628F2"/>
    <w:rsid w:val="00E66A78"/>
    <w:rsid w:val="00E70C89"/>
    <w:rsid w:val="00E77DB4"/>
    <w:rsid w:val="00E80476"/>
    <w:rsid w:val="00E904B0"/>
    <w:rsid w:val="00E94C0C"/>
    <w:rsid w:val="00EA3B9E"/>
    <w:rsid w:val="00EA40EA"/>
    <w:rsid w:val="00EA7243"/>
    <w:rsid w:val="00EB2235"/>
    <w:rsid w:val="00EB4439"/>
    <w:rsid w:val="00EC0850"/>
    <w:rsid w:val="00EC09BF"/>
    <w:rsid w:val="00EC6340"/>
    <w:rsid w:val="00EC78B7"/>
    <w:rsid w:val="00ED04F3"/>
    <w:rsid w:val="00ED0694"/>
    <w:rsid w:val="00ED3FA4"/>
    <w:rsid w:val="00ED4C97"/>
    <w:rsid w:val="00ED6443"/>
    <w:rsid w:val="00EE2349"/>
    <w:rsid w:val="00EF3BB4"/>
    <w:rsid w:val="00EF7D37"/>
    <w:rsid w:val="00F03B3E"/>
    <w:rsid w:val="00F151D6"/>
    <w:rsid w:val="00F204CC"/>
    <w:rsid w:val="00F22C50"/>
    <w:rsid w:val="00F24E21"/>
    <w:rsid w:val="00F25346"/>
    <w:rsid w:val="00F27CA3"/>
    <w:rsid w:val="00F3644B"/>
    <w:rsid w:val="00F42773"/>
    <w:rsid w:val="00F44225"/>
    <w:rsid w:val="00F45240"/>
    <w:rsid w:val="00F4671E"/>
    <w:rsid w:val="00F51818"/>
    <w:rsid w:val="00F60ADA"/>
    <w:rsid w:val="00F64E46"/>
    <w:rsid w:val="00F72533"/>
    <w:rsid w:val="00F83480"/>
    <w:rsid w:val="00F90BD4"/>
    <w:rsid w:val="00F92888"/>
    <w:rsid w:val="00FA104E"/>
    <w:rsid w:val="00FA2436"/>
    <w:rsid w:val="00FA4AA6"/>
    <w:rsid w:val="00FA7920"/>
    <w:rsid w:val="00FB11E0"/>
    <w:rsid w:val="00FB42D8"/>
    <w:rsid w:val="00FB5F24"/>
    <w:rsid w:val="00FC2FA9"/>
    <w:rsid w:val="00FC7ACB"/>
    <w:rsid w:val="00FD341E"/>
    <w:rsid w:val="00FD3D9A"/>
    <w:rsid w:val="00FD5CFC"/>
    <w:rsid w:val="00FD651E"/>
    <w:rsid w:val="00FD68C8"/>
    <w:rsid w:val="00FE2A37"/>
    <w:rsid w:val="00FE3993"/>
    <w:rsid w:val="00FE5C19"/>
    <w:rsid w:val="00FE6810"/>
    <w:rsid w:val="00FE6E93"/>
    <w:rsid w:val="00FF3232"/>
    <w:rsid w:val="00FF3479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9E4AE4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AF1D6C29764AA9A15994C9C7267C" ma:contentTypeVersion="1" ma:contentTypeDescription="Create a new document." ma:contentTypeScope="" ma:versionID="c219e6234b40fcdcdd701aefc94d7747">
  <xsd:schema xmlns:xsd="http://www.w3.org/2001/XMLSchema" xmlns:xs="http://www.w3.org/2001/XMLSchema" xmlns:p="http://schemas.microsoft.com/office/2006/metadata/properties" xmlns:ns2="89bd54b3-51f3-4e08-a5a0-6e29086e6533" targetNamespace="http://schemas.microsoft.com/office/2006/metadata/properties" ma:root="true" ma:fieldsID="424038372e1daaec7bd5fcaeffc911eb" ns2:_="">
    <xsd:import namespace="89bd54b3-51f3-4e08-a5a0-6e29086e653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54b3-51f3-4e08-a5a0-6e29086e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106E-547C-402C-94B3-E170208CB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54b3-51f3-4e08-a5a0-6e29086e6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A9B11-9C96-4E32-9066-32D9960F6E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9bd54b3-51f3-4e08-a5a0-6e29086e65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04DB3B-7CAE-42D0-A912-5330F15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7</cp:revision>
  <cp:lastPrinted>2018-08-17T21:19:00Z</cp:lastPrinted>
  <dcterms:created xsi:type="dcterms:W3CDTF">2018-08-17T16:42:00Z</dcterms:created>
  <dcterms:modified xsi:type="dcterms:W3CDTF">2018-08-20T17:42:00Z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0x01010085FEAF1D6C29764AA9A15994C9C7267C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