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06" w:rsidRPr="00453106" w:rsidRDefault="00453106" w:rsidP="00453106">
      <w:pPr>
        <w:spacing w:before="150" w:after="150" w:line="240" w:lineRule="auto"/>
        <w:outlineLvl w:val="0"/>
        <w:rPr>
          <w:rFonts w:ascii="Open Sans" w:eastAsia="Times New Roman" w:hAnsi="Open Sans" w:cs="Arial"/>
          <w:color w:val="CC6828"/>
          <w:kern w:val="36"/>
          <w:sz w:val="51"/>
          <w:szCs w:val="51"/>
        </w:rPr>
      </w:pPr>
      <w:r w:rsidRPr="00453106">
        <w:rPr>
          <w:rFonts w:ascii="Open Sans" w:eastAsia="Times New Roman" w:hAnsi="Open Sans" w:cs="Arial"/>
          <w:color w:val="CC6828"/>
          <w:kern w:val="36"/>
          <w:sz w:val="51"/>
          <w:szCs w:val="51"/>
        </w:rPr>
        <w:t>Determining your tax rates</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color w:val="222222"/>
          <w:sz w:val="23"/>
          <w:szCs w:val="23"/>
        </w:rPr>
        <w:t>Washington's unemployment-insurance program is an experience-based system. In general, your tax rate depends on how much your former workers collect in unemployment benefits and the size of your payroll.</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color w:val="222222"/>
          <w:sz w:val="23"/>
          <w:szCs w:val="23"/>
        </w:rPr>
        <w:t xml:space="preserve">There are two major components of state unemployment taxes, an experience-rating tax based on an average of the employer's layoff history over the past four fiscal years and a shared-cost (social) tax based on costs from the previous year that can't be attributed to a specific employer. Please see the </w:t>
      </w:r>
      <w:hyperlink r:id="rId5" w:tgtFrame="_blank" w:tooltip="Click to view facts sheet regarding how your taxes are determined" w:history="1">
        <w:r w:rsidRPr="00453106">
          <w:rPr>
            <w:rFonts w:ascii="Times New Roman" w:eastAsia="Times New Roman" w:hAnsi="Times New Roman" w:cs="Arial"/>
            <w:color w:val="008CBA"/>
            <w:sz w:val="23"/>
            <w:szCs w:val="23"/>
          </w:rPr>
          <w:t>Unemployment insurance taxes fact sheet</w:t>
        </w:r>
      </w:hyperlink>
      <w:r w:rsidRPr="00453106">
        <w:rPr>
          <w:rFonts w:ascii="Open Sans" w:eastAsia="Times New Roman" w:hAnsi="Open Sans" w:cs="Arial"/>
          <w:color w:val="222222"/>
          <w:sz w:val="23"/>
          <w:szCs w:val="23"/>
        </w:rPr>
        <w:t xml:space="preserve"> for more information.</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color w:val="222222"/>
          <w:sz w:val="23"/>
          <w:szCs w:val="23"/>
        </w:rPr>
        <w:t>For 201</w:t>
      </w:r>
      <w:r w:rsidR="006A1847">
        <w:rPr>
          <w:rFonts w:ascii="Open Sans" w:eastAsia="Times New Roman" w:hAnsi="Open Sans" w:cs="Arial"/>
          <w:color w:val="222222"/>
          <w:sz w:val="23"/>
          <w:szCs w:val="23"/>
        </w:rPr>
        <w:t>9</w:t>
      </w:r>
      <w:r w:rsidRPr="00453106">
        <w:rPr>
          <w:rFonts w:ascii="Open Sans" w:eastAsia="Times New Roman" w:hAnsi="Open Sans" w:cs="Arial"/>
          <w:color w:val="222222"/>
          <w:sz w:val="23"/>
          <w:szCs w:val="23"/>
        </w:rPr>
        <w:t xml:space="preserve">, the </w:t>
      </w:r>
      <w:r w:rsidRPr="00453106">
        <w:rPr>
          <w:rFonts w:ascii="Open Sans" w:eastAsia="Times New Roman" w:hAnsi="Open Sans" w:cs="Arial"/>
          <w:b/>
          <w:bCs/>
          <w:i/>
          <w:iCs/>
          <w:color w:val="222222"/>
          <w:sz w:val="23"/>
          <w:szCs w:val="23"/>
        </w:rPr>
        <w:t>estimated</w:t>
      </w:r>
      <w:r w:rsidRPr="00453106">
        <w:rPr>
          <w:rFonts w:ascii="Open Sans" w:eastAsia="Times New Roman" w:hAnsi="Open Sans" w:cs="Arial"/>
          <w:i/>
          <w:iCs/>
          <w:color w:val="222222"/>
          <w:sz w:val="23"/>
          <w:szCs w:val="23"/>
        </w:rPr>
        <w:t xml:space="preserve"> </w:t>
      </w:r>
      <w:r w:rsidRPr="00453106">
        <w:rPr>
          <w:rFonts w:ascii="Open Sans" w:eastAsia="Times New Roman" w:hAnsi="Open Sans" w:cs="Arial"/>
          <w:color w:val="222222"/>
          <w:sz w:val="23"/>
          <w:szCs w:val="23"/>
        </w:rPr>
        <w:t xml:space="preserve">average unemployment tax rate is </w:t>
      </w:r>
      <w:r w:rsidR="00D06C40">
        <w:rPr>
          <w:rFonts w:ascii="Open Sans" w:eastAsia="Times New Roman" w:hAnsi="Open Sans" w:cs="Arial"/>
          <w:color w:val="222222"/>
          <w:sz w:val="23"/>
          <w:szCs w:val="23"/>
        </w:rPr>
        <w:t>1.03</w:t>
      </w:r>
      <w:r w:rsidRPr="00453106">
        <w:rPr>
          <w:rFonts w:ascii="Open Sans" w:eastAsia="Times New Roman" w:hAnsi="Open Sans" w:cs="Arial"/>
          <w:color w:val="222222"/>
          <w:sz w:val="23"/>
          <w:szCs w:val="23"/>
        </w:rPr>
        <w:t xml:space="preserve"> percent. Tax rates range from a low of 0.</w:t>
      </w:r>
      <w:r w:rsidR="00F52C1C" w:rsidRPr="00453106">
        <w:rPr>
          <w:rFonts w:ascii="Open Sans" w:eastAsia="Times New Roman" w:hAnsi="Open Sans" w:cs="Arial"/>
          <w:color w:val="222222"/>
          <w:sz w:val="23"/>
          <w:szCs w:val="23"/>
        </w:rPr>
        <w:t>1</w:t>
      </w:r>
      <w:r w:rsidR="003D4A09">
        <w:rPr>
          <w:rFonts w:ascii="Open Sans" w:eastAsia="Times New Roman" w:hAnsi="Open Sans" w:cs="Arial"/>
          <w:color w:val="222222"/>
          <w:sz w:val="23"/>
          <w:szCs w:val="23"/>
        </w:rPr>
        <w:t>3</w:t>
      </w:r>
      <w:r w:rsidR="00F52C1C" w:rsidRPr="00453106">
        <w:rPr>
          <w:rFonts w:ascii="Open Sans" w:eastAsia="Times New Roman" w:hAnsi="Open Sans" w:cs="Arial"/>
          <w:color w:val="222222"/>
          <w:sz w:val="23"/>
          <w:szCs w:val="23"/>
        </w:rPr>
        <w:t xml:space="preserve"> </w:t>
      </w:r>
      <w:r w:rsidRPr="00453106">
        <w:rPr>
          <w:rFonts w:ascii="Open Sans" w:eastAsia="Times New Roman" w:hAnsi="Open Sans" w:cs="Arial"/>
          <w:color w:val="222222"/>
          <w:sz w:val="23"/>
          <w:szCs w:val="23"/>
        </w:rPr>
        <w:t>percent to a high of 5.</w:t>
      </w:r>
      <w:r w:rsidR="00F52C1C">
        <w:rPr>
          <w:rFonts w:ascii="Open Sans" w:eastAsia="Times New Roman" w:hAnsi="Open Sans" w:cs="Arial"/>
          <w:color w:val="222222"/>
          <w:sz w:val="23"/>
          <w:szCs w:val="23"/>
        </w:rPr>
        <w:t>7</w:t>
      </w:r>
      <w:r w:rsidR="003D4A09">
        <w:rPr>
          <w:rFonts w:ascii="Open Sans" w:eastAsia="Times New Roman" w:hAnsi="Open Sans" w:cs="Arial"/>
          <w:color w:val="222222"/>
          <w:sz w:val="23"/>
          <w:szCs w:val="23"/>
        </w:rPr>
        <w:t>2</w:t>
      </w:r>
      <w:r w:rsidR="00F52C1C" w:rsidRPr="00453106">
        <w:rPr>
          <w:rFonts w:ascii="Open Sans" w:eastAsia="Times New Roman" w:hAnsi="Open Sans" w:cs="Arial"/>
          <w:color w:val="222222"/>
          <w:sz w:val="23"/>
          <w:szCs w:val="23"/>
        </w:rPr>
        <w:t xml:space="preserve"> </w:t>
      </w:r>
      <w:r w:rsidRPr="00453106">
        <w:rPr>
          <w:rFonts w:ascii="Open Sans" w:eastAsia="Times New Roman" w:hAnsi="Open Sans" w:cs="Arial"/>
          <w:color w:val="222222"/>
          <w:sz w:val="23"/>
          <w:szCs w:val="23"/>
        </w:rPr>
        <w:t>percent.</w:t>
      </w:r>
    </w:p>
    <w:p w:rsidR="00453106" w:rsidRPr="00453106" w:rsidRDefault="00453106" w:rsidP="00453106">
      <w:pPr>
        <w:spacing w:after="158" w:line="240" w:lineRule="auto"/>
        <w:rPr>
          <w:rFonts w:ascii="Open Sans" w:eastAsia="Times New Roman" w:hAnsi="Open Sans" w:cs="Arial"/>
          <w:color w:val="222222"/>
          <w:sz w:val="23"/>
          <w:szCs w:val="23"/>
        </w:rPr>
      </w:pPr>
      <w:r w:rsidRPr="00F52C1C">
        <w:rPr>
          <w:rFonts w:ascii="Open Sans" w:eastAsia="Times New Roman" w:hAnsi="Open Sans" w:cs="Arial"/>
          <w:color w:val="222222"/>
          <w:sz w:val="23"/>
          <w:szCs w:val="23"/>
        </w:rPr>
        <w:t xml:space="preserve">Employers with delinquent tax bills also may receive a range of delinquent-tax rates. The lowest delinquent-tax rate for experienced employers in </w:t>
      </w:r>
      <w:r w:rsidR="00F52C1C" w:rsidRPr="00F52C1C">
        <w:rPr>
          <w:rFonts w:ascii="Open Sans" w:eastAsia="Times New Roman" w:hAnsi="Open Sans" w:cs="Arial"/>
          <w:color w:val="222222"/>
          <w:sz w:val="23"/>
          <w:szCs w:val="23"/>
        </w:rPr>
        <w:t>201</w:t>
      </w:r>
      <w:r w:rsidR="006A1847">
        <w:rPr>
          <w:rFonts w:ascii="Open Sans" w:eastAsia="Times New Roman" w:hAnsi="Open Sans" w:cs="Arial"/>
          <w:color w:val="222222"/>
          <w:sz w:val="23"/>
          <w:szCs w:val="23"/>
        </w:rPr>
        <w:t>9</w:t>
      </w:r>
      <w:r w:rsidR="00F52C1C" w:rsidRPr="00F52C1C">
        <w:rPr>
          <w:rFonts w:ascii="Open Sans" w:eastAsia="Times New Roman" w:hAnsi="Open Sans" w:cs="Arial"/>
          <w:color w:val="222222"/>
          <w:sz w:val="23"/>
          <w:szCs w:val="23"/>
        </w:rPr>
        <w:t xml:space="preserve"> </w:t>
      </w:r>
      <w:r w:rsidRPr="00F52C1C">
        <w:rPr>
          <w:rFonts w:ascii="Open Sans" w:eastAsia="Times New Roman" w:hAnsi="Open Sans" w:cs="Arial"/>
          <w:color w:val="222222"/>
          <w:sz w:val="23"/>
          <w:szCs w:val="23"/>
        </w:rPr>
        <w:t xml:space="preserve">is </w:t>
      </w:r>
      <w:r w:rsidR="00F52C1C" w:rsidRPr="00F52C1C">
        <w:rPr>
          <w:rFonts w:ascii="Open Sans" w:eastAsia="Times New Roman" w:hAnsi="Open Sans" w:cs="Arial"/>
          <w:color w:val="222222"/>
          <w:sz w:val="23"/>
          <w:szCs w:val="23"/>
        </w:rPr>
        <w:t>0</w:t>
      </w:r>
      <w:r w:rsidRPr="00F52C1C">
        <w:rPr>
          <w:rFonts w:ascii="Open Sans" w:eastAsia="Times New Roman" w:hAnsi="Open Sans" w:cs="Arial"/>
          <w:color w:val="222222"/>
          <w:sz w:val="23"/>
          <w:szCs w:val="23"/>
        </w:rPr>
        <w:t>.</w:t>
      </w:r>
      <w:r w:rsidR="00F52C1C" w:rsidRPr="00F52C1C">
        <w:rPr>
          <w:rFonts w:ascii="Open Sans" w:eastAsia="Times New Roman" w:hAnsi="Open Sans" w:cs="Arial"/>
          <w:color w:val="222222"/>
          <w:sz w:val="23"/>
          <w:szCs w:val="23"/>
        </w:rPr>
        <w:t xml:space="preserve">83 </w:t>
      </w:r>
      <w:r w:rsidRPr="00F52C1C">
        <w:rPr>
          <w:rFonts w:ascii="Open Sans" w:eastAsia="Times New Roman" w:hAnsi="Open Sans" w:cs="Arial"/>
          <w:color w:val="222222"/>
          <w:sz w:val="23"/>
          <w:szCs w:val="23"/>
        </w:rPr>
        <w:t>percent, and the highest is 7.</w:t>
      </w:r>
      <w:r w:rsidR="00F52C1C" w:rsidRPr="00F52C1C">
        <w:rPr>
          <w:rFonts w:ascii="Open Sans" w:eastAsia="Times New Roman" w:hAnsi="Open Sans" w:cs="Arial"/>
          <w:color w:val="222222"/>
          <w:sz w:val="23"/>
          <w:szCs w:val="23"/>
        </w:rPr>
        <w:t xml:space="preserve">73 </w:t>
      </w:r>
      <w:r w:rsidRPr="00F52C1C">
        <w:rPr>
          <w:rFonts w:ascii="Open Sans" w:eastAsia="Times New Roman" w:hAnsi="Open Sans" w:cs="Arial"/>
          <w:color w:val="222222"/>
          <w:sz w:val="23"/>
          <w:szCs w:val="23"/>
        </w:rPr>
        <w:t>percent.</w:t>
      </w:r>
    </w:p>
    <w:p w:rsidR="006A1847" w:rsidRPr="006A1847"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b/>
          <w:bCs/>
          <w:color w:val="CC6828"/>
          <w:sz w:val="23"/>
          <w:szCs w:val="23"/>
        </w:rPr>
        <w:br/>
        <w:t>The average tax rate in recent years has been:</w:t>
      </w:r>
    </w:p>
    <w:p w:rsidR="00453106" w:rsidRDefault="00453106" w:rsidP="00453106">
      <w:pPr>
        <w:spacing w:after="158" w:line="240" w:lineRule="auto"/>
        <w:rPr>
          <w:rFonts w:ascii="Open Sans" w:eastAsia="Times New Roman" w:hAnsi="Open Sans" w:cs="Arial"/>
          <w:b/>
          <w:bCs/>
          <w:color w:val="222222"/>
          <w:sz w:val="23"/>
          <w:szCs w:val="23"/>
        </w:rPr>
      </w:pPr>
      <w:r>
        <w:rPr>
          <w:rFonts w:ascii="Open Sans" w:eastAsia="Times New Roman" w:hAnsi="Open Sans" w:cs="Arial"/>
          <w:b/>
          <w:bCs/>
          <w:color w:val="222222"/>
          <w:sz w:val="23"/>
          <w:szCs w:val="23"/>
        </w:rPr>
        <w:t>201</w:t>
      </w:r>
      <w:r w:rsidR="006A1847">
        <w:rPr>
          <w:rFonts w:ascii="Open Sans" w:eastAsia="Times New Roman" w:hAnsi="Open Sans" w:cs="Arial"/>
          <w:b/>
          <w:bCs/>
          <w:color w:val="222222"/>
          <w:sz w:val="23"/>
          <w:szCs w:val="23"/>
        </w:rPr>
        <w:t>9</w:t>
      </w:r>
      <w:r w:rsidR="003D4A09">
        <w:rPr>
          <w:rFonts w:ascii="Open Sans" w:eastAsia="Times New Roman" w:hAnsi="Open Sans" w:cs="Arial"/>
          <w:b/>
          <w:bCs/>
          <w:color w:val="222222"/>
          <w:sz w:val="23"/>
          <w:szCs w:val="23"/>
        </w:rPr>
        <w:t>……………….</w:t>
      </w:r>
      <w:r w:rsidR="00D06C40" w:rsidRPr="00D06C40">
        <w:rPr>
          <w:rFonts w:ascii="Open Sans" w:eastAsia="Times New Roman" w:hAnsi="Open Sans" w:cs="Arial"/>
          <w:b/>
          <w:bCs/>
          <w:color w:val="222222"/>
          <w:sz w:val="23"/>
          <w:szCs w:val="23"/>
        </w:rPr>
        <w:t>1.03</w:t>
      </w:r>
      <w:r>
        <w:rPr>
          <w:rFonts w:ascii="Open Sans" w:eastAsia="Times New Roman" w:hAnsi="Open Sans" w:cs="Arial"/>
          <w:b/>
          <w:bCs/>
          <w:color w:val="222222"/>
          <w:sz w:val="23"/>
          <w:szCs w:val="23"/>
        </w:rPr>
        <w:t>%*</w:t>
      </w:r>
    </w:p>
    <w:p w:rsidR="003D4A09" w:rsidRDefault="003D4A09" w:rsidP="003D4A09">
      <w:pPr>
        <w:spacing w:after="0" w:line="240" w:lineRule="auto"/>
        <w:rPr>
          <w:rFonts w:ascii="Open Sans" w:eastAsia="Times New Roman" w:hAnsi="Open Sans" w:cs="Arial"/>
          <w:b/>
          <w:bCs/>
          <w:color w:val="222222"/>
          <w:sz w:val="23"/>
          <w:szCs w:val="23"/>
        </w:rPr>
      </w:pPr>
      <w:r w:rsidRPr="00453106">
        <w:rPr>
          <w:rFonts w:ascii="Open Sans" w:eastAsia="Times New Roman" w:hAnsi="Open Sans" w:cs="Arial"/>
          <w:b/>
          <w:bCs/>
          <w:color w:val="222222"/>
          <w:sz w:val="23"/>
          <w:szCs w:val="23"/>
        </w:rPr>
        <w:t>201</w:t>
      </w:r>
      <w:r w:rsidR="006A1847">
        <w:rPr>
          <w:rFonts w:ascii="Open Sans" w:eastAsia="Times New Roman" w:hAnsi="Open Sans" w:cs="Arial"/>
          <w:b/>
          <w:bCs/>
          <w:color w:val="222222"/>
          <w:sz w:val="23"/>
          <w:szCs w:val="23"/>
        </w:rPr>
        <w:t>8</w:t>
      </w:r>
      <w:r w:rsidRPr="007D2BFF">
        <w:rPr>
          <w:rFonts w:ascii="Open Sans" w:eastAsia="Times New Roman" w:hAnsi="Open Sans" w:cs="Arial"/>
          <w:bCs/>
          <w:color w:val="222222"/>
          <w:sz w:val="23"/>
          <w:szCs w:val="23"/>
        </w:rPr>
        <w:t>.........................</w:t>
      </w:r>
      <w:r w:rsidR="00D06C40" w:rsidRPr="00D06C40">
        <w:rPr>
          <w:rFonts w:ascii="Open Sans" w:eastAsia="Times New Roman" w:hAnsi="Open Sans" w:cs="Arial"/>
          <w:bCs/>
          <w:color w:val="222222"/>
          <w:sz w:val="23"/>
          <w:szCs w:val="23"/>
        </w:rPr>
        <w:t>1.11</w:t>
      </w:r>
      <w:r w:rsidRPr="00D06C40">
        <w:rPr>
          <w:rFonts w:ascii="Open Sans" w:eastAsia="Times New Roman" w:hAnsi="Open Sans" w:cs="Arial"/>
          <w:bCs/>
          <w:color w:val="222222"/>
          <w:sz w:val="23"/>
          <w:szCs w:val="23"/>
        </w:rPr>
        <w:t>%</w:t>
      </w:r>
    </w:p>
    <w:p w:rsidR="006A1847" w:rsidRDefault="006A1847" w:rsidP="003D4A09">
      <w:pPr>
        <w:spacing w:after="0" w:line="240" w:lineRule="auto"/>
        <w:rPr>
          <w:rFonts w:ascii="Open Sans" w:eastAsia="Times New Roman" w:hAnsi="Open Sans" w:cs="Arial"/>
          <w:b/>
          <w:bCs/>
          <w:color w:val="222222"/>
          <w:sz w:val="23"/>
          <w:szCs w:val="23"/>
        </w:rPr>
      </w:pPr>
      <w:r w:rsidRPr="00453106">
        <w:rPr>
          <w:rFonts w:ascii="Open Sans" w:eastAsia="Times New Roman" w:hAnsi="Open Sans" w:cs="Arial"/>
          <w:b/>
          <w:bCs/>
          <w:color w:val="222222"/>
          <w:sz w:val="23"/>
          <w:szCs w:val="23"/>
        </w:rPr>
        <w:t>201</w:t>
      </w:r>
      <w:r>
        <w:rPr>
          <w:rFonts w:ascii="Open Sans" w:eastAsia="Times New Roman" w:hAnsi="Open Sans" w:cs="Arial"/>
          <w:b/>
          <w:bCs/>
          <w:color w:val="222222"/>
          <w:sz w:val="23"/>
          <w:szCs w:val="23"/>
        </w:rPr>
        <w:t>7</w:t>
      </w:r>
      <w:r w:rsidRPr="007D2BFF">
        <w:rPr>
          <w:rFonts w:ascii="Open Sans" w:eastAsia="Times New Roman" w:hAnsi="Open Sans" w:cs="Arial"/>
          <w:bCs/>
          <w:color w:val="222222"/>
          <w:sz w:val="23"/>
          <w:szCs w:val="23"/>
        </w:rPr>
        <w:t>.........................</w:t>
      </w:r>
      <w:r w:rsidRPr="00D06C40">
        <w:rPr>
          <w:rFonts w:ascii="Open Sans" w:eastAsia="Times New Roman" w:hAnsi="Open Sans" w:cs="Arial"/>
          <w:bCs/>
          <w:color w:val="222222"/>
          <w:sz w:val="23"/>
          <w:szCs w:val="23"/>
        </w:rPr>
        <w:t>1.21%</w:t>
      </w:r>
    </w:p>
    <w:p w:rsidR="007D2BFF" w:rsidRDefault="007D2BFF" w:rsidP="003D4A09">
      <w:pPr>
        <w:spacing w:after="0" w:line="240" w:lineRule="auto"/>
        <w:rPr>
          <w:rFonts w:ascii="Open Sans" w:eastAsia="Times New Roman" w:hAnsi="Open Sans" w:cs="Arial"/>
          <w:b/>
          <w:bCs/>
          <w:color w:val="222222"/>
          <w:sz w:val="23"/>
          <w:szCs w:val="23"/>
        </w:rPr>
      </w:pPr>
      <w:r w:rsidRPr="00453106">
        <w:rPr>
          <w:rFonts w:ascii="Open Sans" w:eastAsia="Times New Roman" w:hAnsi="Open Sans" w:cs="Arial"/>
          <w:b/>
          <w:bCs/>
          <w:color w:val="222222"/>
          <w:sz w:val="23"/>
          <w:szCs w:val="23"/>
        </w:rPr>
        <w:t>201</w:t>
      </w:r>
      <w:r>
        <w:rPr>
          <w:rFonts w:ascii="Open Sans" w:eastAsia="Times New Roman" w:hAnsi="Open Sans" w:cs="Arial"/>
          <w:b/>
          <w:bCs/>
          <w:color w:val="222222"/>
          <w:sz w:val="23"/>
          <w:szCs w:val="23"/>
        </w:rPr>
        <w:t>6</w:t>
      </w:r>
      <w:r w:rsidRPr="007D2BFF">
        <w:rPr>
          <w:rFonts w:ascii="Open Sans" w:eastAsia="Times New Roman" w:hAnsi="Open Sans" w:cs="Arial"/>
          <w:bCs/>
          <w:color w:val="222222"/>
          <w:sz w:val="23"/>
          <w:szCs w:val="23"/>
        </w:rPr>
        <w:t>.........................</w:t>
      </w:r>
      <w:r w:rsidRPr="003D4A09">
        <w:rPr>
          <w:rFonts w:ascii="Open Sans" w:eastAsia="Times New Roman" w:hAnsi="Open Sans" w:cs="Arial"/>
          <w:bCs/>
          <w:color w:val="222222"/>
          <w:sz w:val="23"/>
          <w:szCs w:val="23"/>
        </w:rPr>
        <w:t>1.38%</w:t>
      </w:r>
    </w:p>
    <w:p w:rsidR="00453106" w:rsidRPr="007D2BFF" w:rsidRDefault="00453106" w:rsidP="007D2BFF">
      <w:pPr>
        <w:spacing w:after="0" w:line="240" w:lineRule="auto"/>
        <w:rPr>
          <w:rFonts w:ascii="Open Sans" w:eastAsia="Times New Roman" w:hAnsi="Open Sans" w:cs="Arial"/>
          <w:b/>
          <w:bCs/>
          <w:color w:val="222222"/>
          <w:sz w:val="23"/>
          <w:szCs w:val="23"/>
        </w:rPr>
      </w:pPr>
      <w:r w:rsidRPr="007D2BFF">
        <w:rPr>
          <w:rFonts w:ascii="Open Sans" w:eastAsia="Times New Roman" w:hAnsi="Open Sans" w:cs="Arial"/>
          <w:b/>
          <w:bCs/>
          <w:color w:val="222222"/>
          <w:sz w:val="23"/>
          <w:szCs w:val="23"/>
        </w:rPr>
        <w:t>2015</w:t>
      </w:r>
      <w:r w:rsidR="007D2BFF" w:rsidRPr="007D2BFF">
        <w:rPr>
          <w:rFonts w:ascii="Open Sans" w:eastAsia="Times New Roman" w:hAnsi="Open Sans" w:cs="Arial"/>
          <w:bCs/>
          <w:color w:val="222222"/>
          <w:sz w:val="23"/>
          <w:szCs w:val="23"/>
        </w:rPr>
        <w:t>.........................1.56%</w:t>
      </w:r>
      <w:r w:rsidRPr="00453106">
        <w:rPr>
          <w:rFonts w:ascii="Open Sans" w:eastAsia="Times New Roman" w:hAnsi="Open Sans" w:cs="Arial"/>
          <w:b/>
          <w:bCs/>
          <w:color w:val="222222"/>
          <w:sz w:val="23"/>
          <w:szCs w:val="23"/>
        </w:rPr>
        <w:br/>
        <w:t>2014</w:t>
      </w:r>
      <w:r w:rsidR="007D2BFF">
        <w:rPr>
          <w:rFonts w:ascii="Open Sans" w:eastAsia="Times New Roman" w:hAnsi="Open Sans" w:cs="Arial"/>
          <w:color w:val="222222"/>
          <w:sz w:val="23"/>
          <w:szCs w:val="23"/>
        </w:rPr>
        <w:t>.........................1.75</w:t>
      </w:r>
      <w:r w:rsidRPr="00453106">
        <w:rPr>
          <w:rFonts w:ascii="Open Sans" w:eastAsia="Times New Roman" w:hAnsi="Open Sans" w:cs="Arial"/>
          <w:color w:val="222222"/>
          <w:sz w:val="23"/>
          <w:szCs w:val="23"/>
        </w:rPr>
        <w:t>%</w:t>
      </w:r>
      <w:r w:rsidRPr="00453106">
        <w:rPr>
          <w:rFonts w:ascii="Open Sans" w:eastAsia="Times New Roman" w:hAnsi="Open Sans" w:cs="Arial"/>
          <w:color w:val="222222"/>
          <w:sz w:val="23"/>
          <w:szCs w:val="23"/>
        </w:rPr>
        <w:br/>
      </w:r>
      <w:r w:rsidRPr="00453106">
        <w:rPr>
          <w:rFonts w:ascii="Open Sans" w:eastAsia="Times New Roman" w:hAnsi="Open Sans" w:cs="Arial"/>
          <w:b/>
          <w:bCs/>
          <w:color w:val="222222"/>
          <w:sz w:val="23"/>
          <w:szCs w:val="23"/>
        </w:rPr>
        <w:t>2013</w:t>
      </w:r>
      <w:r w:rsidR="007D2BFF">
        <w:rPr>
          <w:rFonts w:ascii="Open Sans" w:eastAsia="Times New Roman" w:hAnsi="Open Sans" w:cs="Arial"/>
          <w:color w:val="222222"/>
          <w:sz w:val="23"/>
          <w:szCs w:val="23"/>
        </w:rPr>
        <w:t>.........................1.98</w:t>
      </w:r>
      <w:r w:rsidRPr="00453106">
        <w:rPr>
          <w:rFonts w:ascii="Open Sans" w:eastAsia="Times New Roman" w:hAnsi="Open Sans" w:cs="Arial"/>
          <w:color w:val="222222"/>
          <w:sz w:val="23"/>
          <w:szCs w:val="23"/>
        </w:rPr>
        <w:t>%</w:t>
      </w:r>
      <w:r w:rsidRPr="00453106">
        <w:rPr>
          <w:rFonts w:ascii="Open Sans" w:eastAsia="Times New Roman" w:hAnsi="Open Sans" w:cs="Arial"/>
          <w:color w:val="222222"/>
          <w:sz w:val="23"/>
          <w:szCs w:val="23"/>
        </w:rPr>
        <w:br/>
      </w:r>
      <w:r w:rsidRPr="00453106">
        <w:rPr>
          <w:rFonts w:ascii="Open Sans" w:eastAsia="Times New Roman" w:hAnsi="Open Sans" w:cs="Arial"/>
          <w:b/>
          <w:bCs/>
          <w:color w:val="222222"/>
          <w:sz w:val="23"/>
          <w:szCs w:val="23"/>
        </w:rPr>
        <w:t>2012</w:t>
      </w:r>
      <w:r w:rsidRPr="00453106">
        <w:rPr>
          <w:rFonts w:ascii="Open Sans" w:eastAsia="Times New Roman" w:hAnsi="Open Sans" w:cs="Arial"/>
          <w:color w:val="222222"/>
          <w:sz w:val="23"/>
          <w:szCs w:val="23"/>
        </w:rPr>
        <w:t>.........................2.0</w:t>
      </w:r>
      <w:r w:rsidR="007D2BFF">
        <w:rPr>
          <w:rFonts w:ascii="Open Sans" w:eastAsia="Times New Roman" w:hAnsi="Open Sans" w:cs="Arial"/>
          <w:color w:val="222222"/>
          <w:sz w:val="23"/>
          <w:szCs w:val="23"/>
        </w:rPr>
        <w:t>4</w:t>
      </w:r>
      <w:r w:rsidRPr="00453106">
        <w:rPr>
          <w:rFonts w:ascii="Open Sans" w:eastAsia="Times New Roman" w:hAnsi="Open Sans" w:cs="Arial"/>
          <w:color w:val="222222"/>
          <w:sz w:val="23"/>
          <w:szCs w:val="23"/>
        </w:rPr>
        <w:t>%</w:t>
      </w:r>
    </w:p>
    <w:p w:rsidR="006A1847" w:rsidRDefault="00453106" w:rsidP="006A1847">
      <w:pPr>
        <w:spacing w:after="0" w:line="240" w:lineRule="auto"/>
        <w:rPr>
          <w:rFonts w:ascii="Open Sans" w:eastAsia="Times New Roman" w:hAnsi="Open Sans" w:cs="Arial"/>
          <w:color w:val="222222"/>
          <w:sz w:val="23"/>
          <w:szCs w:val="23"/>
        </w:rPr>
      </w:pPr>
      <w:r w:rsidRPr="00453106">
        <w:rPr>
          <w:rFonts w:ascii="Open Sans" w:eastAsia="Times New Roman" w:hAnsi="Open Sans" w:cs="Arial"/>
          <w:b/>
          <w:bCs/>
          <w:color w:val="222222"/>
          <w:sz w:val="23"/>
          <w:szCs w:val="23"/>
        </w:rPr>
        <w:t>2011</w:t>
      </w:r>
      <w:r w:rsidR="007D2BFF">
        <w:rPr>
          <w:rFonts w:ascii="Open Sans" w:eastAsia="Times New Roman" w:hAnsi="Open Sans" w:cs="Arial"/>
          <w:color w:val="222222"/>
          <w:sz w:val="23"/>
          <w:szCs w:val="23"/>
        </w:rPr>
        <w:t>.........................2.48</w:t>
      </w:r>
      <w:r w:rsidRPr="00453106">
        <w:rPr>
          <w:rFonts w:ascii="Open Sans" w:eastAsia="Times New Roman" w:hAnsi="Open Sans" w:cs="Arial"/>
          <w:color w:val="222222"/>
          <w:sz w:val="23"/>
          <w:szCs w:val="23"/>
        </w:rPr>
        <w:t>%</w:t>
      </w:r>
      <w:r w:rsidRPr="00453106">
        <w:rPr>
          <w:rFonts w:ascii="Open Sans" w:eastAsia="Times New Roman" w:hAnsi="Open Sans" w:cs="Arial"/>
          <w:b/>
          <w:bCs/>
          <w:color w:val="222222"/>
          <w:sz w:val="23"/>
          <w:szCs w:val="23"/>
        </w:rPr>
        <w:br/>
        <w:t>2010</w:t>
      </w:r>
      <w:r w:rsidRPr="00453106">
        <w:rPr>
          <w:rFonts w:ascii="Open Sans" w:eastAsia="Times New Roman" w:hAnsi="Open Sans" w:cs="Arial"/>
          <w:color w:val="222222"/>
          <w:sz w:val="23"/>
          <w:szCs w:val="23"/>
        </w:rPr>
        <w:t>.........................2.39%</w:t>
      </w:r>
      <w:r w:rsidRPr="00453106">
        <w:rPr>
          <w:rFonts w:ascii="Open Sans" w:eastAsia="Times New Roman" w:hAnsi="Open Sans" w:cs="Arial"/>
          <w:color w:val="222222"/>
          <w:sz w:val="23"/>
          <w:szCs w:val="23"/>
        </w:rPr>
        <w:br/>
      </w:r>
      <w:r w:rsidRPr="00453106">
        <w:rPr>
          <w:rFonts w:ascii="Open Sans" w:eastAsia="Times New Roman" w:hAnsi="Open Sans" w:cs="Arial"/>
          <w:b/>
          <w:bCs/>
          <w:color w:val="222222"/>
          <w:sz w:val="23"/>
          <w:szCs w:val="23"/>
        </w:rPr>
        <w:t>2009</w:t>
      </w:r>
      <w:r w:rsidRPr="00453106">
        <w:rPr>
          <w:rFonts w:ascii="Open Sans" w:eastAsia="Times New Roman" w:hAnsi="Open Sans" w:cs="Arial"/>
          <w:color w:val="222222"/>
          <w:sz w:val="23"/>
          <w:szCs w:val="23"/>
        </w:rPr>
        <w:t>.........................1.64%</w:t>
      </w:r>
      <w:r w:rsidRPr="00453106">
        <w:rPr>
          <w:rFonts w:ascii="Open Sans" w:eastAsia="Times New Roman" w:hAnsi="Open Sans" w:cs="Arial"/>
          <w:color w:val="222222"/>
          <w:sz w:val="23"/>
          <w:szCs w:val="23"/>
        </w:rPr>
        <w:br/>
      </w:r>
      <w:r w:rsidRPr="00453106">
        <w:rPr>
          <w:rFonts w:ascii="Open Sans" w:eastAsia="Times New Roman" w:hAnsi="Open Sans" w:cs="Arial"/>
          <w:b/>
          <w:bCs/>
          <w:color w:val="222222"/>
          <w:sz w:val="23"/>
          <w:szCs w:val="23"/>
        </w:rPr>
        <w:t>2008</w:t>
      </w:r>
      <w:r w:rsidRPr="00453106">
        <w:rPr>
          <w:rFonts w:ascii="Open Sans" w:eastAsia="Times New Roman" w:hAnsi="Open Sans" w:cs="Arial"/>
          <w:color w:val="222222"/>
          <w:sz w:val="23"/>
          <w:szCs w:val="23"/>
        </w:rPr>
        <w:t>.........................1.82%</w:t>
      </w:r>
    </w:p>
    <w:p w:rsidR="00453106" w:rsidRPr="00453106" w:rsidRDefault="00453106" w:rsidP="006A1847">
      <w:pPr>
        <w:spacing w:after="0" w:line="240" w:lineRule="auto"/>
        <w:rPr>
          <w:rFonts w:ascii="Open Sans" w:eastAsia="Times New Roman" w:hAnsi="Open Sans" w:cs="Arial"/>
          <w:color w:val="222222"/>
          <w:sz w:val="23"/>
          <w:szCs w:val="23"/>
        </w:rPr>
      </w:pPr>
      <w:r w:rsidRPr="00453106">
        <w:rPr>
          <w:rFonts w:ascii="Open Sans" w:eastAsia="Times New Roman" w:hAnsi="Open Sans" w:cs="Arial"/>
          <w:b/>
          <w:bCs/>
          <w:color w:val="222222"/>
          <w:sz w:val="23"/>
          <w:szCs w:val="23"/>
        </w:rPr>
        <w:t>2007</w:t>
      </w:r>
      <w:r w:rsidRPr="00453106">
        <w:rPr>
          <w:rFonts w:ascii="Open Sans" w:eastAsia="Times New Roman" w:hAnsi="Open Sans" w:cs="Arial"/>
          <w:color w:val="222222"/>
          <w:sz w:val="23"/>
          <w:szCs w:val="23"/>
        </w:rPr>
        <w:t>.........................1.97%</w:t>
      </w:r>
      <w:r w:rsidRPr="00453106">
        <w:rPr>
          <w:rFonts w:ascii="Open Sans" w:eastAsia="Times New Roman" w:hAnsi="Open Sans" w:cs="Arial"/>
          <w:b/>
          <w:bCs/>
          <w:color w:val="222222"/>
          <w:sz w:val="23"/>
          <w:szCs w:val="23"/>
        </w:rPr>
        <w:br/>
        <w:t>2006</w:t>
      </w:r>
      <w:r w:rsidRPr="00453106">
        <w:rPr>
          <w:rFonts w:ascii="Open Sans" w:eastAsia="Times New Roman" w:hAnsi="Open Sans" w:cs="Arial"/>
          <w:color w:val="222222"/>
          <w:sz w:val="23"/>
          <w:szCs w:val="23"/>
        </w:rPr>
        <w:t>.........................2.38%</w:t>
      </w:r>
      <w:r w:rsidRPr="00453106">
        <w:rPr>
          <w:rFonts w:ascii="Open Sans" w:eastAsia="Times New Roman" w:hAnsi="Open Sans" w:cs="Arial"/>
          <w:b/>
          <w:bCs/>
          <w:color w:val="222222"/>
          <w:sz w:val="23"/>
          <w:szCs w:val="23"/>
        </w:rPr>
        <w:br/>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color w:val="222222"/>
          <w:sz w:val="23"/>
          <w:szCs w:val="23"/>
        </w:rPr>
        <w:t>*</w:t>
      </w:r>
      <w:r w:rsidRPr="00453106">
        <w:rPr>
          <w:rFonts w:ascii="Open Sans" w:eastAsia="Times New Roman" w:hAnsi="Open Sans" w:cs="Arial"/>
          <w:i/>
          <w:iCs/>
          <w:color w:val="222222"/>
          <w:sz w:val="23"/>
          <w:szCs w:val="23"/>
        </w:rPr>
        <w:t>estimated</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color w:val="222222"/>
          <w:sz w:val="23"/>
          <w:szCs w:val="23"/>
        </w:rPr>
        <w:t>Your tax rate is sent out in December for the following year. That is your rate for the entire following calendar year.</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b/>
          <w:bCs/>
          <w:color w:val="CC6828"/>
          <w:sz w:val="23"/>
          <w:szCs w:val="23"/>
        </w:rPr>
        <w:br/>
        <w:t>Additional tax rate information</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b/>
          <w:bCs/>
          <w:color w:val="222222"/>
          <w:sz w:val="23"/>
          <w:szCs w:val="23"/>
        </w:rPr>
        <w:t>201</w:t>
      </w:r>
      <w:r w:rsidR="006A1847">
        <w:rPr>
          <w:rFonts w:ascii="Open Sans" w:eastAsia="Times New Roman" w:hAnsi="Open Sans" w:cs="Arial"/>
          <w:b/>
          <w:bCs/>
          <w:color w:val="222222"/>
          <w:sz w:val="23"/>
          <w:szCs w:val="23"/>
        </w:rPr>
        <w:t>9</w:t>
      </w:r>
      <w:r w:rsidRPr="00453106">
        <w:rPr>
          <w:rFonts w:ascii="Open Sans" w:eastAsia="Times New Roman" w:hAnsi="Open Sans" w:cs="Arial"/>
          <w:b/>
          <w:bCs/>
          <w:color w:val="222222"/>
          <w:sz w:val="23"/>
          <w:szCs w:val="23"/>
        </w:rPr>
        <w:t xml:space="preserve"> tax rates</w:t>
      </w:r>
      <w:r w:rsidRPr="00453106">
        <w:rPr>
          <w:rFonts w:ascii="Open Sans" w:eastAsia="Times New Roman" w:hAnsi="Open Sans" w:cs="Arial"/>
          <w:b/>
          <w:bCs/>
          <w:color w:val="222222"/>
          <w:sz w:val="23"/>
          <w:szCs w:val="23"/>
        </w:rPr>
        <w:br/>
      </w:r>
      <w:r w:rsidRPr="00453106">
        <w:rPr>
          <w:rFonts w:ascii="Open Sans" w:eastAsia="Times New Roman" w:hAnsi="Open Sans" w:cs="Arial"/>
          <w:color w:val="222222"/>
          <w:sz w:val="23"/>
          <w:szCs w:val="23"/>
        </w:rPr>
        <w:t>This form will help you understand your 201</w:t>
      </w:r>
      <w:r w:rsidR="00D06C40">
        <w:rPr>
          <w:rFonts w:ascii="Open Sans" w:eastAsia="Times New Roman" w:hAnsi="Open Sans" w:cs="Arial"/>
          <w:color w:val="222222"/>
          <w:sz w:val="23"/>
          <w:szCs w:val="23"/>
        </w:rPr>
        <w:t>9</w:t>
      </w:r>
      <w:r w:rsidRPr="00453106">
        <w:rPr>
          <w:rFonts w:ascii="Open Sans" w:eastAsia="Times New Roman" w:hAnsi="Open Sans" w:cs="Arial"/>
          <w:color w:val="222222"/>
          <w:sz w:val="23"/>
          <w:szCs w:val="23"/>
        </w:rPr>
        <w:t xml:space="preserve"> tax rates:</w:t>
      </w:r>
    </w:p>
    <w:p w:rsidR="00453106" w:rsidRPr="00453106" w:rsidRDefault="00D06C40" w:rsidP="00453106">
      <w:pPr>
        <w:numPr>
          <w:ilvl w:val="0"/>
          <w:numId w:val="1"/>
        </w:numPr>
        <w:spacing w:before="100" w:beforeAutospacing="1" w:after="100" w:afterAutospacing="1" w:line="240" w:lineRule="auto"/>
        <w:ind w:left="270"/>
        <w:rPr>
          <w:rFonts w:ascii="Open Sans" w:eastAsia="Times New Roman" w:hAnsi="Open Sans" w:cs="Arial"/>
          <w:color w:val="222222"/>
          <w:sz w:val="23"/>
          <w:szCs w:val="23"/>
        </w:rPr>
      </w:pPr>
      <w:hyperlink r:id="rId6" w:tgtFrame="_blank" w:history="1">
        <w:r w:rsidR="00453106" w:rsidRPr="00453106">
          <w:rPr>
            <w:rFonts w:ascii="Times New Roman" w:eastAsia="Times New Roman" w:hAnsi="Times New Roman" w:cs="Arial"/>
            <w:color w:val="008CBA"/>
            <w:sz w:val="23"/>
            <w:szCs w:val="23"/>
          </w:rPr>
          <w:t>201</w:t>
        </w:r>
        <w:r w:rsidR="006A1847">
          <w:rPr>
            <w:rFonts w:ascii="Times New Roman" w:eastAsia="Times New Roman" w:hAnsi="Times New Roman" w:cs="Arial"/>
            <w:color w:val="008CBA"/>
            <w:sz w:val="23"/>
            <w:szCs w:val="23"/>
          </w:rPr>
          <w:t>9</w:t>
        </w:r>
        <w:r w:rsidR="00453106" w:rsidRPr="00453106">
          <w:rPr>
            <w:rFonts w:ascii="Times New Roman" w:eastAsia="Times New Roman" w:hAnsi="Times New Roman" w:cs="Arial"/>
            <w:color w:val="008CBA"/>
            <w:sz w:val="23"/>
            <w:szCs w:val="23"/>
          </w:rPr>
          <w:t xml:space="preserve"> tax rate chart</w:t>
        </w:r>
      </w:hyperlink>
      <w:r w:rsidR="00453106" w:rsidRPr="00453106">
        <w:rPr>
          <w:rFonts w:ascii="Open Sans" w:eastAsia="Times New Roman" w:hAnsi="Open Sans" w:cs="Arial"/>
          <w:color w:val="222222"/>
          <w:sz w:val="23"/>
          <w:szCs w:val="23"/>
        </w:rPr>
        <w:t> (PDF)</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b/>
          <w:bCs/>
          <w:color w:val="222222"/>
          <w:sz w:val="23"/>
          <w:szCs w:val="23"/>
        </w:rPr>
        <w:lastRenderedPageBreak/>
        <w:t>Calculate your tax rate</w:t>
      </w:r>
      <w:r w:rsidRPr="00453106">
        <w:rPr>
          <w:rFonts w:ascii="Open Sans" w:eastAsia="Times New Roman" w:hAnsi="Open Sans" w:cs="Arial"/>
          <w:b/>
          <w:bCs/>
          <w:color w:val="222222"/>
          <w:sz w:val="23"/>
          <w:szCs w:val="23"/>
        </w:rPr>
        <w:br/>
      </w:r>
      <w:r w:rsidRPr="00453106">
        <w:rPr>
          <w:rFonts w:ascii="Open Sans" w:eastAsia="Times New Roman" w:hAnsi="Open Sans" w:cs="Arial"/>
          <w:color w:val="222222"/>
          <w:sz w:val="23"/>
          <w:szCs w:val="23"/>
        </w:rPr>
        <w:t>You can use our online calculators to figure out your tax rate. These calculators will work if you have your taxable wages and benefit charges for the last four years. This calculator will determine 201</w:t>
      </w:r>
      <w:r w:rsidR="0010246C">
        <w:rPr>
          <w:rFonts w:ascii="Open Sans" w:eastAsia="Times New Roman" w:hAnsi="Open Sans" w:cs="Arial"/>
          <w:color w:val="222222"/>
          <w:sz w:val="23"/>
          <w:szCs w:val="23"/>
        </w:rPr>
        <w:t>7</w:t>
      </w:r>
      <w:r w:rsidRPr="00453106">
        <w:rPr>
          <w:rFonts w:ascii="Open Sans" w:eastAsia="Times New Roman" w:hAnsi="Open Sans" w:cs="Arial"/>
          <w:color w:val="222222"/>
          <w:sz w:val="23"/>
          <w:szCs w:val="23"/>
        </w:rPr>
        <w:t xml:space="preserve"> tax rate only.</w:t>
      </w:r>
    </w:p>
    <w:p w:rsidR="00453106" w:rsidRPr="00453106" w:rsidRDefault="00D06C40" w:rsidP="00453106">
      <w:pPr>
        <w:numPr>
          <w:ilvl w:val="0"/>
          <w:numId w:val="2"/>
        </w:numPr>
        <w:spacing w:before="100" w:beforeAutospacing="1" w:after="100" w:afterAutospacing="1" w:line="240" w:lineRule="auto"/>
        <w:ind w:left="270"/>
        <w:rPr>
          <w:rFonts w:ascii="Open Sans" w:eastAsia="Times New Roman" w:hAnsi="Open Sans" w:cs="Arial"/>
          <w:color w:val="222222"/>
          <w:sz w:val="23"/>
          <w:szCs w:val="23"/>
        </w:rPr>
      </w:pPr>
      <w:hyperlink r:id="rId7" w:tgtFrame="_blank" w:history="1">
        <w:r w:rsidR="00453106" w:rsidRPr="00453106">
          <w:rPr>
            <w:rFonts w:ascii="Times New Roman" w:eastAsia="Times New Roman" w:hAnsi="Times New Roman" w:cs="Arial"/>
            <w:color w:val="008CBA"/>
            <w:sz w:val="23"/>
            <w:szCs w:val="23"/>
          </w:rPr>
          <w:t>201</w:t>
        </w:r>
        <w:r w:rsidR="006A1847">
          <w:rPr>
            <w:rFonts w:ascii="Times New Roman" w:eastAsia="Times New Roman" w:hAnsi="Times New Roman" w:cs="Arial"/>
            <w:color w:val="008CBA"/>
            <w:sz w:val="23"/>
            <w:szCs w:val="23"/>
          </w:rPr>
          <w:t>9</w:t>
        </w:r>
        <w:r w:rsidR="00453106" w:rsidRPr="00453106">
          <w:rPr>
            <w:rFonts w:ascii="Times New Roman" w:eastAsia="Times New Roman" w:hAnsi="Times New Roman" w:cs="Arial"/>
            <w:color w:val="008CBA"/>
            <w:sz w:val="23"/>
            <w:szCs w:val="23"/>
          </w:rPr>
          <w:t xml:space="preserve"> tax rate calculator</w:t>
        </w:r>
      </w:hyperlink>
      <w:r w:rsidR="00453106" w:rsidRPr="00453106">
        <w:rPr>
          <w:rFonts w:ascii="Open Sans" w:eastAsia="Times New Roman" w:hAnsi="Open Sans" w:cs="Arial"/>
          <w:color w:val="222222"/>
          <w:sz w:val="23"/>
          <w:szCs w:val="23"/>
        </w:rPr>
        <w:t> (</w:t>
      </w:r>
      <w:proofErr w:type="spellStart"/>
      <w:r w:rsidR="00453106" w:rsidRPr="00453106">
        <w:rPr>
          <w:rFonts w:ascii="Open Sans" w:eastAsia="Times New Roman" w:hAnsi="Open Sans" w:cs="Arial"/>
          <w:color w:val="222222"/>
          <w:sz w:val="23"/>
          <w:szCs w:val="23"/>
        </w:rPr>
        <w:t>xls</w:t>
      </w:r>
      <w:proofErr w:type="spellEnd"/>
      <w:r w:rsidR="00453106" w:rsidRPr="00453106">
        <w:rPr>
          <w:rFonts w:ascii="Open Sans" w:eastAsia="Times New Roman" w:hAnsi="Open Sans" w:cs="Arial"/>
          <w:color w:val="222222"/>
          <w:sz w:val="23"/>
          <w:szCs w:val="23"/>
        </w:rPr>
        <w:t>)</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b/>
          <w:bCs/>
          <w:color w:val="222222"/>
          <w:sz w:val="23"/>
          <w:szCs w:val="23"/>
        </w:rPr>
        <w:t>New employers</w:t>
      </w:r>
      <w:r w:rsidRPr="00453106">
        <w:rPr>
          <w:rFonts w:ascii="Open Sans" w:eastAsia="Times New Roman" w:hAnsi="Open Sans" w:cs="Arial"/>
          <w:b/>
          <w:bCs/>
          <w:color w:val="222222"/>
          <w:sz w:val="23"/>
          <w:szCs w:val="23"/>
        </w:rPr>
        <w:br/>
      </w:r>
      <w:r w:rsidRPr="00F52C1C">
        <w:rPr>
          <w:rFonts w:ascii="Open Sans" w:eastAsia="Times New Roman" w:hAnsi="Open Sans" w:cs="Arial"/>
          <w:color w:val="222222"/>
          <w:sz w:val="23"/>
          <w:szCs w:val="23"/>
        </w:rPr>
        <w:t xml:space="preserve">If you are a new employer or haven't been in business long enough, you won't have enough "experience" to get your own tax rate. Instead, you will be assigned a rate based on your industry. For </w:t>
      </w:r>
      <w:r w:rsidR="00F52C1C" w:rsidRPr="00F52C1C">
        <w:rPr>
          <w:rFonts w:ascii="Open Sans" w:eastAsia="Times New Roman" w:hAnsi="Open Sans" w:cs="Arial"/>
          <w:color w:val="222222"/>
          <w:sz w:val="23"/>
          <w:szCs w:val="23"/>
        </w:rPr>
        <w:t>201</w:t>
      </w:r>
      <w:r w:rsidR="006A1847">
        <w:rPr>
          <w:rFonts w:ascii="Open Sans" w:eastAsia="Times New Roman" w:hAnsi="Open Sans" w:cs="Arial"/>
          <w:color w:val="222222"/>
          <w:sz w:val="23"/>
          <w:szCs w:val="23"/>
        </w:rPr>
        <w:t>9</w:t>
      </w:r>
      <w:r w:rsidRPr="00F52C1C">
        <w:rPr>
          <w:rFonts w:ascii="Open Sans" w:eastAsia="Times New Roman" w:hAnsi="Open Sans" w:cs="Arial"/>
          <w:color w:val="222222"/>
          <w:sz w:val="23"/>
          <w:szCs w:val="23"/>
        </w:rPr>
        <w:t>, new employers will pay</w:t>
      </w:r>
      <w:r w:rsidRPr="00F52C1C">
        <w:rPr>
          <w:rFonts w:ascii="Open Sans" w:eastAsia="Times New Roman" w:hAnsi="Open Sans" w:cs="Arial" w:hint="eastAsia"/>
          <w:color w:val="222222"/>
          <w:sz w:val="23"/>
          <w:szCs w:val="23"/>
        </w:rPr>
        <w:t> </w:t>
      </w:r>
      <w:r w:rsidRPr="00F52C1C">
        <w:rPr>
          <w:rFonts w:ascii="Open Sans" w:eastAsia="Times New Roman" w:hAnsi="Open Sans" w:cs="Arial"/>
          <w:color w:val="222222"/>
          <w:sz w:val="23"/>
          <w:szCs w:val="23"/>
        </w:rPr>
        <w:t>90 percent of the average rate for all businesses in their respective industries.</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b/>
          <w:bCs/>
          <w:color w:val="222222"/>
          <w:sz w:val="23"/>
          <w:szCs w:val="23"/>
        </w:rPr>
        <w:t>Delinquent-tax rate</w:t>
      </w:r>
      <w:r w:rsidRPr="00453106">
        <w:rPr>
          <w:rFonts w:ascii="Open Sans" w:eastAsia="Times New Roman" w:hAnsi="Open Sans" w:cs="Arial"/>
          <w:b/>
          <w:bCs/>
          <w:color w:val="222222"/>
          <w:sz w:val="23"/>
          <w:szCs w:val="23"/>
        </w:rPr>
        <w:br/>
      </w:r>
      <w:r w:rsidRPr="00453106">
        <w:rPr>
          <w:rFonts w:ascii="Open Sans" w:eastAsia="Times New Roman" w:hAnsi="Open Sans" w:cs="Arial"/>
          <w:color w:val="222222"/>
          <w:sz w:val="23"/>
          <w:szCs w:val="23"/>
        </w:rPr>
        <w:t>You must send all past-due taxes and/or late reports to us by September 30 to avoid a delinquent tax rate for the following year.</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color w:val="222222"/>
          <w:sz w:val="23"/>
          <w:szCs w:val="23"/>
        </w:rPr>
        <w:t xml:space="preserve">If you owe taxes and cannot make full payment, contact </w:t>
      </w:r>
      <w:r>
        <w:rPr>
          <w:rFonts w:ascii="Open Sans" w:eastAsia="Times New Roman" w:hAnsi="Open Sans" w:cs="Arial"/>
          <w:color w:val="222222"/>
          <w:sz w:val="23"/>
          <w:szCs w:val="23"/>
        </w:rPr>
        <w:t>the</w:t>
      </w:r>
      <w:r w:rsidRPr="00453106">
        <w:rPr>
          <w:rFonts w:ascii="Open Sans" w:eastAsia="Times New Roman" w:hAnsi="Open Sans" w:cs="Arial"/>
          <w:color w:val="222222"/>
          <w:sz w:val="23"/>
          <w:szCs w:val="23"/>
        </w:rPr>
        <w:t> </w:t>
      </w:r>
      <w:hyperlink r:id="rId8" w:history="1">
        <w:r w:rsidRPr="00453106">
          <w:rPr>
            <w:rFonts w:ascii="Times New Roman" w:eastAsia="Times New Roman" w:hAnsi="Times New Roman" w:cs="Arial"/>
            <w:color w:val="008CBA"/>
            <w:sz w:val="23"/>
            <w:szCs w:val="23"/>
          </w:rPr>
          <w:t>tax account management center</w:t>
        </w:r>
      </w:hyperlink>
      <w:r w:rsidRPr="00453106">
        <w:rPr>
          <w:rFonts w:ascii="Open Sans" w:eastAsia="Times New Roman" w:hAnsi="Open Sans" w:cs="Arial"/>
          <w:color w:val="222222"/>
          <w:sz w:val="23"/>
          <w:szCs w:val="23"/>
        </w:rPr>
        <w:t> (AMC) to set up a payment plan. If your payment plan is approved before September 30, you will receive your earned tax rate for the following year, rather than the delinquent rate.</w:t>
      </w:r>
    </w:p>
    <w:p w:rsidR="00453106" w:rsidRPr="00453106" w:rsidRDefault="00453106" w:rsidP="00453106">
      <w:pPr>
        <w:spacing w:after="158" w:line="240" w:lineRule="auto"/>
        <w:rPr>
          <w:rFonts w:ascii="Open Sans" w:eastAsia="Times New Roman" w:hAnsi="Open Sans" w:cs="Arial"/>
          <w:color w:val="222222"/>
          <w:sz w:val="23"/>
          <w:szCs w:val="23"/>
        </w:rPr>
      </w:pPr>
      <w:r w:rsidRPr="00453106">
        <w:rPr>
          <w:rFonts w:ascii="Open Sans" w:eastAsia="Times New Roman" w:hAnsi="Open Sans" w:cs="Arial"/>
          <w:b/>
          <w:bCs/>
          <w:color w:val="222222"/>
          <w:sz w:val="23"/>
          <w:szCs w:val="23"/>
        </w:rPr>
        <w:t>Relevant laws and rules</w:t>
      </w:r>
    </w:p>
    <w:p w:rsidR="00453106" w:rsidRPr="00453106" w:rsidRDefault="00D06C40" w:rsidP="00453106">
      <w:pPr>
        <w:numPr>
          <w:ilvl w:val="0"/>
          <w:numId w:val="3"/>
        </w:numPr>
        <w:spacing w:before="100" w:beforeAutospacing="1" w:after="100" w:afterAutospacing="1" w:line="240" w:lineRule="auto"/>
        <w:ind w:left="270"/>
        <w:rPr>
          <w:rFonts w:ascii="Open Sans" w:eastAsia="Times New Roman" w:hAnsi="Open Sans" w:cs="Arial"/>
          <w:color w:val="222222"/>
          <w:sz w:val="23"/>
          <w:szCs w:val="23"/>
        </w:rPr>
      </w:pPr>
      <w:hyperlink r:id="rId9" w:tgtFrame="_blank" w:tooltip="contribution rate" w:history="1">
        <w:r w:rsidR="00453106" w:rsidRPr="00453106">
          <w:rPr>
            <w:rFonts w:ascii="Times New Roman" w:eastAsia="Times New Roman" w:hAnsi="Times New Roman" w:cs="Arial"/>
            <w:color w:val="008CBA"/>
            <w:sz w:val="23"/>
            <w:szCs w:val="23"/>
          </w:rPr>
          <w:t>General tax rates (Section 2)</w:t>
        </w:r>
      </w:hyperlink>
    </w:p>
    <w:p w:rsidR="00453106" w:rsidRPr="00453106" w:rsidRDefault="00D06C40" w:rsidP="00453106">
      <w:pPr>
        <w:numPr>
          <w:ilvl w:val="0"/>
          <w:numId w:val="3"/>
        </w:numPr>
        <w:spacing w:before="100" w:beforeAutospacing="1" w:after="100" w:afterAutospacing="1" w:line="240" w:lineRule="auto"/>
        <w:ind w:left="270"/>
        <w:rPr>
          <w:rFonts w:ascii="Open Sans" w:eastAsia="Times New Roman" w:hAnsi="Open Sans" w:cs="Arial"/>
          <w:color w:val="222222"/>
          <w:sz w:val="23"/>
          <w:szCs w:val="23"/>
        </w:rPr>
      </w:pPr>
      <w:hyperlink r:id="rId10" w:tgtFrame="_blank" w:tooltip="Click to view WAC" w:history="1">
        <w:r w:rsidR="00453106" w:rsidRPr="00453106">
          <w:rPr>
            <w:rFonts w:ascii="Times New Roman" w:eastAsia="Times New Roman" w:hAnsi="Times New Roman" w:cs="Arial"/>
            <w:color w:val="008CBA"/>
            <w:sz w:val="23"/>
            <w:szCs w:val="23"/>
          </w:rPr>
          <w:t>Delinquent-tax rates</w:t>
        </w:r>
      </w:hyperlink>
    </w:p>
    <w:p w:rsidR="00453106" w:rsidRPr="00453106" w:rsidRDefault="00D06C40" w:rsidP="00453106">
      <w:pPr>
        <w:numPr>
          <w:ilvl w:val="0"/>
          <w:numId w:val="3"/>
        </w:numPr>
        <w:spacing w:before="100" w:beforeAutospacing="1" w:after="100" w:afterAutospacing="1" w:line="240" w:lineRule="auto"/>
        <w:ind w:left="270"/>
        <w:rPr>
          <w:rFonts w:ascii="Open Sans" w:eastAsia="Times New Roman" w:hAnsi="Open Sans" w:cs="Arial"/>
          <w:color w:val="222222"/>
          <w:sz w:val="23"/>
          <w:szCs w:val="23"/>
        </w:rPr>
      </w:pPr>
      <w:hyperlink r:id="rId11" w:tgtFrame="_blank" w:tooltip="Tax rates for new employers" w:history="1">
        <w:r w:rsidR="00453106" w:rsidRPr="00453106">
          <w:rPr>
            <w:rFonts w:ascii="Times New Roman" w:eastAsia="Times New Roman" w:hAnsi="Times New Roman" w:cs="Arial"/>
            <w:color w:val="008CBA"/>
            <w:sz w:val="23"/>
            <w:szCs w:val="23"/>
          </w:rPr>
          <w:t>Tax rates for new employers</w:t>
        </w:r>
      </w:hyperlink>
    </w:p>
    <w:p w:rsidR="00453106" w:rsidRPr="00453106" w:rsidRDefault="00D06C40" w:rsidP="00453106">
      <w:pPr>
        <w:numPr>
          <w:ilvl w:val="0"/>
          <w:numId w:val="3"/>
        </w:numPr>
        <w:spacing w:before="100" w:beforeAutospacing="1" w:after="100" w:afterAutospacing="1" w:line="240" w:lineRule="auto"/>
        <w:ind w:left="270"/>
        <w:rPr>
          <w:rFonts w:ascii="Open Sans" w:eastAsia="Times New Roman" w:hAnsi="Open Sans" w:cs="Arial"/>
          <w:color w:val="222222"/>
          <w:sz w:val="23"/>
          <w:szCs w:val="23"/>
        </w:rPr>
      </w:pPr>
      <w:hyperlink r:id="rId12" w:tgtFrame="_blank" w:tooltip="Tax rates for predecessor and successor employers" w:history="1">
        <w:r w:rsidR="00453106" w:rsidRPr="00453106">
          <w:rPr>
            <w:rFonts w:ascii="Times New Roman" w:eastAsia="Times New Roman" w:hAnsi="Times New Roman" w:cs="Arial"/>
            <w:color w:val="008CBA"/>
            <w:sz w:val="23"/>
            <w:szCs w:val="23"/>
          </w:rPr>
          <w:t>Tax rates for predecessor and successor employers</w:t>
        </w:r>
      </w:hyperlink>
      <w:bookmarkStart w:id="0" w:name="_GoBack"/>
      <w:bookmarkEnd w:id="0"/>
    </w:p>
    <w:p w:rsidR="00134D7F" w:rsidRDefault="00D06C40"/>
    <w:sectPr w:rsidR="0013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4F21"/>
    <w:multiLevelType w:val="multilevel"/>
    <w:tmpl w:val="F09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667BD"/>
    <w:multiLevelType w:val="multilevel"/>
    <w:tmpl w:val="1BE4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311EC"/>
    <w:multiLevelType w:val="multilevel"/>
    <w:tmpl w:val="60CA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06"/>
    <w:rsid w:val="0010246C"/>
    <w:rsid w:val="001E3E37"/>
    <w:rsid w:val="0039396E"/>
    <w:rsid w:val="003D4A09"/>
    <w:rsid w:val="00453106"/>
    <w:rsid w:val="006741BF"/>
    <w:rsid w:val="006A1847"/>
    <w:rsid w:val="007D2BFF"/>
    <w:rsid w:val="008E64AD"/>
    <w:rsid w:val="009D5611"/>
    <w:rsid w:val="00BA29EF"/>
    <w:rsid w:val="00D06C40"/>
    <w:rsid w:val="00F5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CB51"/>
  <w15:chartTrackingRefBased/>
  <w15:docId w15:val="{AF7A9F15-CF0B-4CA4-9858-92E78759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3106"/>
    <w:pPr>
      <w:spacing w:before="315" w:after="158" w:line="240" w:lineRule="auto"/>
      <w:outlineLvl w:val="0"/>
    </w:pPr>
    <w:rPr>
      <w:rFonts w:ascii="Open Sans" w:eastAsia="Times New Roman" w:hAnsi="Open Sans" w:cs="Times New Roman"/>
      <w:kern w:val="36"/>
      <w:sz w:val="59"/>
      <w:szCs w:val="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106"/>
    <w:rPr>
      <w:rFonts w:ascii="Open Sans" w:eastAsia="Times New Roman" w:hAnsi="Open Sans" w:cs="Times New Roman"/>
      <w:kern w:val="36"/>
      <w:sz w:val="59"/>
      <w:szCs w:val="59"/>
    </w:rPr>
  </w:style>
  <w:style w:type="character" w:styleId="Hyperlink">
    <w:name w:val="Hyperlink"/>
    <w:basedOn w:val="DefaultParagraphFont"/>
    <w:uiPriority w:val="99"/>
    <w:semiHidden/>
    <w:unhideWhenUsed/>
    <w:rsid w:val="00453106"/>
    <w:rPr>
      <w:strike w:val="0"/>
      <w:dstrike w:val="0"/>
      <w:color w:val="008CBA"/>
      <w:u w:val="none"/>
      <w:effect w:val="none"/>
      <w:shd w:val="clear" w:color="auto" w:fill="auto"/>
    </w:rPr>
  </w:style>
  <w:style w:type="character" w:styleId="Strong">
    <w:name w:val="Strong"/>
    <w:basedOn w:val="DefaultParagraphFont"/>
    <w:uiPriority w:val="22"/>
    <w:qFormat/>
    <w:rsid w:val="00453106"/>
    <w:rPr>
      <w:b/>
      <w:bCs/>
    </w:rPr>
  </w:style>
  <w:style w:type="paragraph" w:styleId="NormalWeb">
    <w:name w:val="Normal (Web)"/>
    <w:basedOn w:val="Normal"/>
    <w:uiPriority w:val="99"/>
    <w:semiHidden/>
    <w:unhideWhenUsed/>
    <w:rsid w:val="00453106"/>
    <w:pPr>
      <w:spacing w:after="15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3106"/>
    <w:rPr>
      <w:i/>
      <w:iCs/>
    </w:rPr>
  </w:style>
  <w:style w:type="paragraph" w:styleId="BalloonText">
    <w:name w:val="Balloon Text"/>
    <w:basedOn w:val="Normal"/>
    <w:link w:val="BalloonTextChar"/>
    <w:uiPriority w:val="99"/>
    <w:semiHidden/>
    <w:unhideWhenUsed/>
    <w:rsid w:val="0039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682986">
      <w:bodyDiv w:val="1"/>
      <w:marLeft w:val="0"/>
      <w:marRight w:val="0"/>
      <w:marTop w:val="0"/>
      <w:marBottom w:val="0"/>
      <w:divBdr>
        <w:top w:val="none" w:sz="0" w:space="0" w:color="auto"/>
        <w:left w:val="none" w:sz="0" w:space="0" w:color="auto"/>
        <w:bottom w:val="none" w:sz="0" w:space="0" w:color="auto"/>
        <w:right w:val="none" w:sz="0" w:space="0" w:color="auto"/>
      </w:divBdr>
      <w:divsChild>
        <w:div w:id="983317277">
          <w:marLeft w:val="0"/>
          <w:marRight w:val="0"/>
          <w:marTop w:val="0"/>
          <w:marBottom w:val="0"/>
          <w:divBdr>
            <w:top w:val="none" w:sz="0" w:space="0" w:color="auto"/>
            <w:left w:val="none" w:sz="0" w:space="0" w:color="auto"/>
            <w:bottom w:val="none" w:sz="0" w:space="0" w:color="auto"/>
            <w:right w:val="none" w:sz="0" w:space="0" w:color="auto"/>
          </w:divBdr>
          <w:divsChild>
            <w:div w:id="2012559879">
              <w:marLeft w:val="0"/>
              <w:marRight w:val="0"/>
              <w:marTop w:val="0"/>
              <w:marBottom w:val="0"/>
              <w:divBdr>
                <w:top w:val="none" w:sz="0" w:space="0" w:color="auto"/>
                <w:left w:val="none" w:sz="0" w:space="0" w:color="auto"/>
                <w:bottom w:val="none" w:sz="0" w:space="0" w:color="auto"/>
                <w:right w:val="none" w:sz="0" w:space="0" w:color="auto"/>
              </w:divBdr>
              <w:divsChild>
                <w:div w:id="1331710771">
                  <w:marLeft w:val="-225"/>
                  <w:marRight w:val="-225"/>
                  <w:marTop w:val="0"/>
                  <w:marBottom w:val="0"/>
                  <w:divBdr>
                    <w:top w:val="none" w:sz="0" w:space="0" w:color="auto"/>
                    <w:left w:val="none" w:sz="0" w:space="0" w:color="auto"/>
                    <w:bottom w:val="none" w:sz="0" w:space="0" w:color="auto"/>
                    <w:right w:val="none" w:sz="0" w:space="0" w:color="auto"/>
                  </w:divBdr>
                  <w:divsChild>
                    <w:div w:id="746651747">
                      <w:marLeft w:val="0"/>
                      <w:marRight w:val="0"/>
                      <w:marTop w:val="0"/>
                      <w:marBottom w:val="0"/>
                      <w:divBdr>
                        <w:top w:val="none" w:sz="0" w:space="0" w:color="auto"/>
                        <w:left w:val="none" w:sz="0" w:space="0" w:color="auto"/>
                        <w:bottom w:val="none" w:sz="0" w:space="0" w:color="auto"/>
                        <w:right w:val="none" w:sz="0" w:space="0" w:color="auto"/>
                      </w:divBdr>
                      <w:divsChild>
                        <w:div w:id="1634748459">
                          <w:marLeft w:val="0"/>
                          <w:marRight w:val="0"/>
                          <w:marTop w:val="0"/>
                          <w:marBottom w:val="0"/>
                          <w:divBdr>
                            <w:top w:val="none" w:sz="0" w:space="0" w:color="auto"/>
                            <w:left w:val="none" w:sz="0" w:space="0" w:color="auto"/>
                            <w:bottom w:val="none" w:sz="0" w:space="0" w:color="auto"/>
                            <w:right w:val="none" w:sz="0" w:space="0" w:color="auto"/>
                          </w:divBdr>
                          <w:divsChild>
                            <w:div w:id="949699107">
                              <w:marLeft w:val="0"/>
                              <w:marRight w:val="0"/>
                              <w:marTop w:val="0"/>
                              <w:marBottom w:val="0"/>
                              <w:divBdr>
                                <w:top w:val="none" w:sz="0" w:space="0" w:color="auto"/>
                                <w:left w:val="none" w:sz="0" w:space="0" w:color="auto"/>
                                <w:bottom w:val="none" w:sz="0" w:space="0" w:color="auto"/>
                                <w:right w:val="none" w:sz="0" w:space="0" w:color="auto"/>
                              </w:divBdr>
                            </w:div>
                            <w:div w:id="1994410637">
                              <w:marLeft w:val="0"/>
                              <w:marRight w:val="0"/>
                              <w:marTop w:val="0"/>
                              <w:marBottom w:val="0"/>
                              <w:divBdr>
                                <w:top w:val="none" w:sz="0" w:space="0" w:color="auto"/>
                                <w:left w:val="none" w:sz="0" w:space="0" w:color="auto"/>
                                <w:bottom w:val="none" w:sz="0" w:space="0" w:color="auto"/>
                                <w:right w:val="none" w:sz="0" w:space="0" w:color="auto"/>
                              </w:divBdr>
                              <w:divsChild>
                                <w:div w:id="789250915">
                                  <w:marLeft w:val="-225"/>
                                  <w:marRight w:val="-225"/>
                                  <w:marTop w:val="0"/>
                                  <w:marBottom w:val="0"/>
                                  <w:divBdr>
                                    <w:top w:val="none" w:sz="0" w:space="0" w:color="auto"/>
                                    <w:left w:val="none" w:sz="0" w:space="0" w:color="auto"/>
                                    <w:bottom w:val="none" w:sz="0" w:space="0" w:color="auto"/>
                                    <w:right w:val="none" w:sz="0" w:space="0" w:color="auto"/>
                                  </w:divBdr>
                                  <w:divsChild>
                                    <w:div w:id="1277640601">
                                      <w:marLeft w:val="0"/>
                                      <w:marRight w:val="0"/>
                                      <w:marTop w:val="0"/>
                                      <w:marBottom w:val="0"/>
                                      <w:divBdr>
                                        <w:top w:val="none" w:sz="0" w:space="0" w:color="auto"/>
                                        <w:left w:val="none" w:sz="0" w:space="0" w:color="auto"/>
                                        <w:bottom w:val="none" w:sz="0" w:space="0" w:color="auto"/>
                                        <w:right w:val="none" w:sz="0" w:space="0" w:color="auto"/>
                                      </w:divBdr>
                                    </w:div>
                                    <w:div w:id="2063863158">
                                      <w:marLeft w:val="0"/>
                                      <w:marRight w:val="0"/>
                                      <w:marTop w:val="0"/>
                                      <w:marBottom w:val="0"/>
                                      <w:divBdr>
                                        <w:top w:val="none" w:sz="0" w:space="0" w:color="auto"/>
                                        <w:left w:val="none" w:sz="0" w:space="0" w:color="auto"/>
                                        <w:bottom w:val="none" w:sz="0" w:space="0" w:color="auto"/>
                                        <w:right w:val="none" w:sz="0" w:space="0" w:color="auto"/>
                                      </w:divBdr>
                                    </w:div>
                                    <w:div w:id="1878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1991">
                              <w:marLeft w:val="0"/>
                              <w:marRight w:val="0"/>
                              <w:marTop w:val="0"/>
                              <w:marBottom w:val="0"/>
                              <w:divBdr>
                                <w:top w:val="none" w:sz="0" w:space="0" w:color="auto"/>
                                <w:left w:val="none" w:sz="0" w:space="0" w:color="auto"/>
                                <w:bottom w:val="none" w:sz="0" w:space="0" w:color="auto"/>
                                <w:right w:val="none" w:sz="0" w:space="0" w:color="auto"/>
                              </w:divBdr>
                              <w:divsChild>
                                <w:div w:id="2138135296">
                                  <w:marLeft w:val="-225"/>
                                  <w:marRight w:val="-225"/>
                                  <w:marTop w:val="0"/>
                                  <w:marBottom w:val="0"/>
                                  <w:divBdr>
                                    <w:top w:val="none" w:sz="0" w:space="0" w:color="auto"/>
                                    <w:left w:val="none" w:sz="0" w:space="0" w:color="auto"/>
                                    <w:bottom w:val="none" w:sz="0" w:space="0" w:color="auto"/>
                                    <w:right w:val="none" w:sz="0" w:space="0" w:color="auto"/>
                                  </w:divBdr>
                                  <w:divsChild>
                                    <w:div w:id="1876308860">
                                      <w:marLeft w:val="0"/>
                                      <w:marRight w:val="0"/>
                                      <w:marTop w:val="0"/>
                                      <w:marBottom w:val="0"/>
                                      <w:divBdr>
                                        <w:top w:val="none" w:sz="0" w:space="0" w:color="auto"/>
                                        <w:left w:val="none" w:sz="0" w:space="0" w:color="auto"/>
                                        <w:bottom w:val="none" w:sz="0" w:space="0" w:color="auto"/>
                                        <w:right w:val="none" w:sz="0" w:space="0" w:color="auto"/>
                                      </w:divBdr>
                                    </w:div>
                                    <w:div w:id="18359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wa.gov/employer-taxes/contact-info-for-employ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dorchardstorage.blob.core.windows.net/esdwa/Default/ESDWAGOV/employer-Taxes/ESD-2015-tax-rate-calculator.xls" TargetMode="External"/><Relationship Id="rId12" Type="http://schemas.openxmlformats.org/officeDocument/2006/relationships/hyperlink" Target="http://apps.leg.wa.gov/RCW/default.aspx?cite=50.29.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dorchardstorage.blob.core.windows.net/esdwa/Default/ESDWAGOV/employer-Taxes/ESD-2015-tax-rate-table.pdf" TargetMode="External"/><Relationship Id="rId11" Type="http://schemas.openxmlformats.org/officeDocument/2006/relationships/hyperlink" Target="http://apps.leg.wa.gov/WAC/default.aspx?cite=192-320-025" TargetMode="External"/><Relationship Id="rId5" Type="http://schemas.openxmlformats.org/officeDocument/2006/relationships/hyperlink" Target="https://esdorchardstorage.blob.core.windows.net/esdwa/Default/ESDWAGOV/Fact-Sheets/ESD-unemployment-insurance-taxes-fact-sheet.pdf" TargetMode="External"/><Relationship Id="rId10" Type="http://schemas.openxmlformats.org/officeDocument/2006/relationships/hyperlink" Target="http://apps.leg.wa.gov/WAC/default.aspx?cite=192-320-036" TargetMode="External"/><Relationship Id="rId4" Type="http://schemas.openxmlformats.org/officeDocument/2006/relationships/webSettings" Target="webSettings.xml"/><Relationship Id="rId9" Type="http://schemas.openxmlformats.org/officeDocument/2006/relationships/hyperlink" Target="http://apps.leg.wa.gov/RCW/default.aspx?cite=50.29.0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Janelle (ESD)</dc:creator>
  <cp:keywords/>
  <dc:description/>
  <cp:lastModifiedBy>Robinson, Jeff (ESD)</cp:lastModifiedBy>
  <cp:revision>7</cp:revision>
  <dcterms:created xsi:type="dcterms:W3CDTF">2016-12-12T23:26:00Z</dcterms:created>
  <dcterms:modified xsi:type="dcterms:W3CDTF">2018-12-11T16:50:00Z</dcterms:modified>
</cp:coreProperties>
</file>